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b/>
          <w:color w:val="1565C0"/>
          <w:sz w:val="24"/>
        </w:rPr>
        <w:t>Sunrise Family Clinic</w:t>
      </w:r>
    </w:p>
    <w:p>
      <w:pPr>
        <w:jc w:val="center"/>
      </w:pPr>
      <w:r>
        <w:rPr>
          <w:b/>
          <w:color w:val="111827"/>
          <w:sz w:val="56"/>
        </w:rPr>
        <w:t>Cybersecurity and Data Security Policy</w:t>
      </w:r>
    </w:p>
    <w:p>
      <w:pPr>
        <w:jc w:val="center"/>
      </w:pPr>
      <w:r>
        <w:rPr>
          <w:i/>
          <w:color w:val="6B7280"/>
          <w:sz w:val="26"/>
        </w:rPr>
        <w:t>Cybersecurity and Data Security Policy, prepared under the Health Information Act</w:t>
      </w:r>
    </w:p>
    <w:p>
      <w:pPr>
        <w:spacing w:after="480"/>
      </w:pPr>
    </w:p>
    <w:tbl>
      <w:tblPr>
        <w:tblW w:type="auto" w:w="0"/>
        <w:jc w:val="center"/>
        <w:tblLook w:firstColumn="1" w:firstRow="1" w:lastColumn="0" w:lastRow="0" w:noHBand="0" w:noVBand="1" w:val="04A0"/>
      </w:tblPr>
      <w:tblGrid>
        <w:gridCol w:w="2592"/>
        <w:gridCol w:w="4608"/>
      </w:tblGrid>
      <w:tr>
        <w:tc>
          <w:tcPr>
            <w:tcW w:type="dxa" w:w="4320"/>
          </w:tcPr>
          <w:p>
            <w:r>
              <w:rPr>
                <w:b/>
                <w:sz w:val="20"/>
              </w:rPr>
              <w:t>Prepared by</w:t>
            </w:r>
          </w:p>
        </w:tc>
        <w:tc>
          <w:tcPr>
            <w:tcW w:type="dxa" w:w="4320"/>
          </w:tcPr>
          <w:p>
            <w:r/>
            <w:r>
              <w:rPr>
                <w:sz w:val="20"/>
                <w:highlight w:val="yellow"/>
              </w:rPr>
              <w:t>Dr. Tan Wei Ming (clinic owner)</w:t>
            </w:r>
          </w:p>
        </w:tc>
      </w:tr>
      <w:tr>
        <w:tc>
          <w:tcPr>
            <w:tcW w:type="dxa" w:w="4320"/>
          </w:tcPr>
          <w:p>
            <w:r>
              <w:rPr>
                <w:b/>
                <w:sz w:val="20"/>
              </w:rPr>
              <w:t>Version</w:t>
            </w:r>
          </w:p>
        </w:tc>
        <w:tc>
          <w:tcPr>
            <w:tcW w:type="dxa" w:w="4320"/>
          </w:tcPr>
          <w:p>
            <w:r/>
            <w:r>
              <w:rPr>
                <w:sz w:val="20"/>
                <w:highlight w:val="yellow"/>
              </w:rPr>
              <w:t>1.0</w:t>
            </w:r>
          </w:p>
        </w:tc>
      </w:tr>
      <w:tr>
        <w:tc>
          <w:tcPr>
            <w:tcW w:type="dxa" w:w="4320"/>
          </w:tcPr>
          <w:p>
            <w:r>
              <w:rPr>
                <w:b/>
                <w:sz w:val="20"/>
              </w:rPr>
              <w:t>Date</w:t>
            </w:r>
          </w:p>
        </w:tc>
        <w:tc>
          <w:tcPr>
            <w:tcW w:type="dxa" w:w="4320"/>
          </w:tcPr>
          <w:p>
            <w:r/>
            <w:r>
              <w:rPr>
                <w:sz w:val="20"/>
                <w:highlight w:val="yellow"/>
              </w:rPr>
              <w:t>18 August 2026</w:t>
            </w:r>
          </w:p>
        </w:tc>
      </w:tr>
      <w:tr>
        <w:tc>
          <w:tcPr>
            <w:tcW w:type="dxa" w:w="4320"/>
          </w:tcPr>
          <w:p>
            <w:r>
              <w:rPr>
                <w:b/>
                <w:sz w:val="20"/>
              </w:rPr>
              <w:t>Next review due</w:t>
            </w:r>
          </w:p>
        </w:tc>
        <w:tc>
          <w:tcPr>
            <w:tcW w:type="dxa" w:w="4320"/>
          </w:tcPr>
          <w:p>
            <w:r/>
            <w:r>
              <w:rPr>
                <w:sz w:val="20"/>
                <w:highlight w:val="yellow"/>
              </w:rPr>
              <w:t>August 2027</w:t>
            </w:r>
          </w:p>
        </w:tc>
      </w:tr>
    </w:tbl>
    <w:p>
      <w:r>
        <w:br w:type="page"/>
      </w:r>
    </w:p>
    <w:p>
      <w:pPr>
        <w:pStyle w:val="Heading1"/>
      </w:pPr>
      <w:r>
        <w:t>How to use this document</w:t>
      </w:r>
    </w:p>
    <w:p>
      <w:r>
        <w:rPr>
          <w:b w:val="0"/>
          <w:i w:val="0"/>
        </w:rPr>
        <w:t>This is not a blank form. It is a complete, filled-in example policy for a solo GP clinic, with every field already answered the way a real clinic's answer might read. The clinic named on the cover is an example, not a real practice.</w:t>
      </w:r>
    </w:p>
    <w:p>
      <w:r>
        <w:rPr>
          <w:b w:val="0"/>
          <w:i w:val="0"/>
        </w:rPr>
        <w:t>Everything highlighted in yellow is example detail and needs to become your own clinic's details. Use Word's Find &amp; Replace (Ctrl+H) to swap the clinic name, staff names, software name and vendor details throughout in one pass, then read through and adjust anything that does not match how your clinic actually works.</w:t>
      </w:r>
    </w:p>
    <w:p>
      <w:r>
        <w:rPr>
          <w:b w:val="0"/>
          <w:i w:val="0"/>
        </w:rPr>
        <w:t>Text that is NOT highlighted is the actual policy wording from MOH’s HIA Implementation Guide, reproduced as-is. You do not need to rewrite it — only the yellow parts change. The small grey line under each heading cites where that wording comes from — the matching item in MOH’s Cybersecurity and Data Security (CS/DS) Essentials checklist, and the page of MOH’s Implementation Guide v2.0. Keep it for your own audit trail, or delete it once you’re confident in the wording.</w:t>
      </w:r>
    </w:p>
    <w:p>
      <w:r>
        <w:rPr>
          <w:i/>
          <w:color w:val="6B7280"/>
          <w:sz w:val="19"/>
        </w:rPr>
        <w:t>One legal note, said once: this document is practical guidance built on MOH’s own documents, and MOH’s Implementation Guide says its own sample clauses "are not intended to be an authoritative statement of the law or a substitute for legal or other professional advice." The same applies here. Get a lawyer involved for genuinely high-stakes situations — a live data breach, a dispute with a vendor over liability — not for routine compliance work.</w:t>
      </w:r>
    </w:p>
    <w:p>
      <w:r>
        <w:rPr>
          <w:i/>
          <w:color w:val="6B7280"/>
          <w:sz w:val="19"/>
        </w:rPr>
        <w:t>This document assumes your clinic software (HIMS) is on MOH’s certified list — connected to the National Electronic Health Record (NEHR) and Cyber Essentials certified. If that is not yet true for your clinic, the two-factor authentication section and the NEHR Connect Grant references in the companion deck no longer apply automatically — check the deck’s item 2e and item 9.</w:t>
      </w:r>
    </w:p>
    <w:p>
      <w:r>
        <w:br w:type="page"/>
      </w:r>
    </w:p>
    <w:p>
      <w:pPr>
        <w:pStyle w:val="Heading1"/>
      </w:pPr>
      <w:r>
        <w:t>1. Health Information Handling</w:t>
      </w:r>
    </w:p>
    <w:p>
      <w:r>
        <w:rPr>
          <w:i/>
          <w:color w:val="9CA3AF"/>
          <w:sz w:val="19"/>
        </w:rPr>
        <w:t>Source: CS/DS Essentials item 5, clauses B.1–B.7; MOH Implementation Guide v2.0, Annex B5–B9, pp.41–44.</w:t>
      </w:r>
    </w:p>
    <w:p>
      <w:r>
        <w:rPr>
          <w:b w:val="0"/>
          <w:i w:val="0"/>
        </w:rPr>
        <w:t xml:space="preserve">All personnel must note that our organisation’s health information is stored in </w:t>
      </w:r>
      <w:r>
        <w:rPr>
          <w:b w:val="0"/>
          <w:i w:val="0"/>
          <w:highlight w:val="yellow"/>
        </w:rPr>
        <w:t>ClinicFlow HIMS</w:t>
      </w:r>
      <w:r>
        <w:rPr>
          <w:b w:val="0"/>
          <w:i w:val="0"/>
        </w:rPr>
        <w:t xml:space="preserve"> and </w:t>
      </w:r>
      <w:r>
        <w:rPr>
          <w:b w:val="0"/>
          <w:i w:val="0"/>
          <w:highlight w:val="yellow"/>
        </w:rPr>
        <w:t>the locked filing cabinet behind reception</w:t>
      </w:r>
      <w:r>
        <w:rPr>
          <w:b w:val="0"/>
          <w:i w:val="0"/>
        </w:rPr>
        <w:t>.</w:t>
      </w:r>
    </w:p>
    <w:p>
      <w:r>
        <w:rPr>
          <w:b w:val="0"/>
          <w:i w:val="0"/>
        </w:rPr>
        <w:t>No health information is left unattended on work desks or in open areas. All documents and files containing health information are locked away when personnel step away, and work areas are cleared at the end of each session.</w:t>
      </w:r>
    </w:p>
    <w:p>
      <w:r>
        <w:rPr>
          <w:b w:val="0"/>
          <w:i w:val="0"/>
        </w:rPr>
        <w:t>Computers, laptops, tablets and portable storage devices are secured with cable locks, or stored in locked cabinets or cupboards, when not in use.</w:t>
      </w:r>
    </w:p>
    <w:p>
      <w:r>
        <w:rPr>
          <w:b w:val="0"/>
          <w:i/>
        </w:rPr>
        <w:t>Source: MOH Implementation Guide, Annex B6, pages 41-42. Satisfies CS/DS Essentials clauses B.2.1 and B.2.2.</w:t>
      </w:r>
    </w:p>
    <w:p>
      <w:r>
        <w:rPr>
          <w:b w:val="0"/>
          <w:i w:val="0"/>
        </w:rPr>
        <w:t>Electronic patient health records, including paper records that have been scanned, are retained for the patient's lifetime plus six years. Paper outpatient records are retained for six years from the last day of consultation or treatment, whichever is later. Records of high risk patients and cases are retained for at least 15 years from the last day of consultation or treatment: this covers patients who suffered complications during treatment, pending complaint cases, and patients who lacked or may have lacked mental capacity at the time. Where a complaint, legal action or disciplinary proceeding has begun or is reasonably foreseeable, that patient's complete records are kept until it concludes, or for the period above, whichever is later.</w:t>
      </w:r>
    </w:p>
    <w:p>
      <w:r>
        <w:rPr>
          <w:i/>
          <w:color w:val="6B7280"/>
          <w:sz w:val="19"/>
        </w:rPr>
        <w:t>Source: Licence Conditions on the Retention Periods of Patient Health Records, imposed under section 13(1) of the Healthcare Services Act 2020, Table 1 and paragraphs 13 and 16. This is the document CS/DS Essentials clause B.4 points to, and a breach is actionable under section 20 of the HCSA. These are minimums: a clinic may keep records longer, never shorter. "Lifetime" means the patient's actual lifetime, or 110 years where the date of death is unknown. Check hcsa.gov.sg for the current version before your next review.</w:t>
      </w:r>
    </w:p>
    <w:p>
      <w:r>
        <w:rPr>
          <w:b w:val="0"/>
          <w:i w:val="0"/>
        </w:rPr>
        <w:t>Copies of patient records are made only when needed for a specific work purpose, using clinic equipment. No printout is left unattended at the photocopier. Misprints and paper jams are shredded immediately.</w:t>
      </w:r>
    </w:p>
    <w:p>
      <w:r>
        <w:rPr>
          <w:b w:val="0"/>
          <w:i w:val="0"/>
        </w:rPr>
        <w:t>Any file containing patient information sent by email is password-protected. The password is sent by a separate channel — a phone call or SMS — never in the same email.</w:t>
      </w:r>
    </w:p>
    <w:p>
      <w:r>
        <w:rPr>
          <w:b w:val="0"/>
          <w:i w:val="0"/>
        </w:rPr>
        <w:t>Instant messaging (for example WhatsApp) is used only for basic scheduling — dates and times. Any message containing medical information is sent through the clinic’s official email instead.</w:t>
      </w:r>
    </w:p>
    <w:p>
      <w:pPr>
        <w:spacing w:before="120" w:after="120"/>
      </w:pPr>
      <w:r>
        <w:rPr>
          <w:b/>
          <w:color w:val="B91C1C"/>
        </w:rPr>
        <w:t xml:space="preserve">⚠ DELETE THIS ENTIRE SECTION BEFORE USING THIS POLICY — it runs through “For employment contracts” below.</w:t>
      </w:r>
    </w:p>
    <w:p>
      <w:pPr>
        <w:pStyle w:val="Heading2"/>
      </w:pPr>
      <w:r>
        <w:t>Confidentiality clause for contracts</w:t>
      </w:r>
    </w:p>
    <w:p>
      <w:r>
        <w:rPr>
          <w:i/>
          <w:color w:val="6B7280"/>
          <w:sz w:val="19"/>
        </w:rPr>
        <w:t>The two clauses below are NOT part of this policy — they go into your actual employment contracts and vendor/contractor agreements instead. They are included here so you have them in one place. Source: MOH Implementation Guide v2.0, pages 73–74 (the description at Annex C, p.47, only explains that these clauses exist — the real text is appended at the very back of the 74-page guide).</w:t>
      </w:r>
    </w:p>
    <w:p>
      <w:pPr>
        <w:pStyle w:val="Heading3"/>
      </w:pPr>
      <w:r>
        <w:t>For vendor and contractor agreements</w:t>
      </w:r>
    </w:p>
    <w:p>
      <w:r>
        <w:rPr>
          <w:b w:val="0"/>
          <w:i w:val="0"/>
        </w:rPr>
        <w:t xml:space="preserve">For the purpose of </w:t>
      </w:r>
      <w:r>
        <w:rPr>
          <w:b w:val="0"/>
          <w:i w:val="0"/>
          <w:highlight w:val="yellow"/>
        </w:rPr>
        <w:t>clause 14</w:t>
      </w:r>
      <w:r>
        <w:rPr>
          <w:b w:val="0"/>
          <w:i w:val="0"/>
        </w:rPr>
        <w:t xml:space="preserve">, the following terms shall have the meanings assigned to them below, unless otherwise indicated: "Authorised Personnel" means the officers, directors, partners, members, employees, agents, subcontractors or consultants of the Contractor who are directly involved in carrying out the Contractor’s obligations under the Agreement and whose duties require them to possess the Confidential Information on a need-to-know basis. "Confidential Information" means any information received or obtained as a result of this Agreement, including any health information, relevant information, or analysis derived from it, but excludes information that has become public knowledge other than through breach of this Agreement. "Contractor" means </w:t>
      </w:r>
      <w:r>
        <w:rPr>
          <w:b w:val="0"/>
          <w:i w:val="0"/>
          <w:highlight w:val="yellow"/>
        </w:rPr>
        <w:t>ClinicFlow Pte Ltd</w:t>
      </w:r>
      <w:r>
        <w:rPr>
          <w:b w:val="0"/>
          <w:i w:val="0"/>
        </w:rPr>
        <w:t xml:space="preserve">. "Customer" means </w:t>
      </w:r>
      <w:r>
        <w:rPr>
          <w:b w:val="0"/>
          <w:i w:val="0"/>
          <w:highlight w:val="yellow"/>
        </w:rPr>
        <w:t>Sunrise Family Clinic</w:t>
      </w:r>
      <w:r>
        <w:rPr>
          <w:b w:val="0"/>
          <w:i w:val="0"/>
        </w:rPr>
        <w:t>.</w:t>
      </w:r>
    </w:p>
    <w:p>
      <w:r>
        <w:rPr>
          <w:b w:val="0"/>
          <w:i w:val="0"/>
        </w:rPr>
        <w:t xml:space="preserve">The Contractor shall keep Confidential Information strictly confidential, use it only to perform this Agreement, take reasonable precautions against unauthorised access, ensure its staff observe these obligations, and — no later than </w:t>
      </w:r>
      <w:r>
        <w:rPr>
          <w:b w:val="0"/>
          <w:i w:val="0"/>
          <w:highlight w:val="yellow"/>
        </w:rPr>
        <w:t>30</w:t>
      </w:r>
      <w:r>
        <w:rPr>
          <w:b w:val="0"/>
          <w:i w:val="0"/>
        </w:rPr>
        <w:t xml:space="preserve"> days after the Agreement ends — return or securely destroy all Confidential Information and confirm this in writing. The Contractor shall notify the Customer immediately of any breach, and remains responsible for the acts of its own personnel. This clause survives termination of the Agreement.</w:t>
      </w:r>
    </w:p>
    <w:p>
      <w:pPr>
        <w:pStyle w:val="Heading3"/>
      </w:pPr>
      <w:r>
        <w:t>For employment contracts</w:t>
      </w:r>
    </w:p>
    <w:p>
      <w:r>
        <w:rPr>
          <w:b w:val="0"/>
          <w:i w:val="0"/>
        </w:rPr>
        <w:t xml:space="preserve">For the purposes of </w:t>
      </w:r>
      <w:r>
        <w:rPr>
          <w:b w:val="0"/>
          <w:i w:val="0"/>
          <w:highlight w:val="yellow"/>
        </w:rPr>
        <w:t>clause 22</w:t>
      </w:r>
      <w:r>
        <w:rPr>
          <w:b w:val="0"/>
          <w:i w:val="0"/>
        </w:rPr>
        <w:t xml:space="preserve">, "Company" means </w:t>
      </w:r>
      <w:r>
        <w:rPr>
          <w:b w:val="0"/>
          <w:i w:val="0"/>
          <w:highlight w:val="yellow"/>
        </w:rPr>
        <w:t>Sunrise Family Clinic</w:t>
      </w:r>
      <w:r>
        <w:rPr>
          <w:b w:val="0"/>
          <w:i w:val="0"/>
        </w:rPr>
        <w:t>. "Confidential Information" means any information received as a result of your employment, including any health information or relevant information as defined in the Health Information Act, but excludes information that has become public knowledge other than through your own default. You shall keep all Confidential Information confidential at all times during and after your employment, and shall not use, disclose, copy or extract it except as necessary for your job. You shall return or dispose of all Confidential Information at the Company’s request.</w:t>
      </w:r>
    </w:p>
    <w:p>
      <w:pPr>
        <w:spacing w:before="120" w:after="120"/>
      </w:pPr>
      <w:r>
        <w:rPr>
          <w:b/>
          <w:color w:val="B91C1C"/>
        </w:rPr>
        <w:t xml:space="preserve">⚠ END OF SECTION TO DELETE. Copy both clauses into your actual contracts first, then remove everything from the warning above down to this line. Your policy resumes on the next page.</w:t>
      </w:r>
    </w:p>
    <w:p>
      <w:r>
        <w:br w:type="page"/>
      </w:r>
    </w:p>
    <w:p>
      <w:pPr>
        <w:pStyle w:val="Heading1"/>
      </w:pPr>
      <w:r>
        <w:t>2. Identification of Health Information</w:t>
      </w:r>
    </w:p>
    <w:p>
      <w:r>
        <w:rPr>
          <w:i/>
          <w:color w:val="9CA3AF"/>
          <w:sz w:val="19"/>
        </w:rPr>
        <w:t>Source: CS/DS Essentials item 6, clauses B.8–B.9; MOH Implementation Guide v2.0, Annex B10, p.44.</w:t>
      </w:r>
    </w:p>
    <w:p>
      <w:r>
        <w:rPr>
          <w:b w:val="0"/>
          <w:i w:val="0"/>
        </w:rPr>
        <w:t>All information in medical reports, patient consultation notes, treatment plans, prescription letters, referral letters and laboratory results is health information and must be handled under this policy.</w:t>
      </w:r>
    </w:p>
    <w:p>
      <w:pPr>
        <w:pStyle w:val="Heading1"/>
      </w:pPr>
      <w:r>
        <w:t>3. Access Control</w:t>
      </w:r>
    </w:p>
    <w:p>
      <w:r>
        <w:rPr>
          <w:i/>
          <w:color w:val="9CA3AF"/>
          <w:sz w:val="19"/>
        </w:rPr>
        <w:t>Source: CS/DS Essentials item 7, clause B.10; MOH Implementation Guide v2.0, Annex B11, p.44.</w:t>
      </w:r>
    </w:p>
    <w:p>
      <w:r>
        <w:rPr>
          <w:b w:val="0"/>
          <w:i w:val="0"/>
        </w:rPr>
        <w:t xml:space="preserve">Personnel may access health information only where necessary to carry out their work, and only as authorised by </w:t>
      </w:r>
      <w:r>
        <w:rPr>
          <w:b w:val="0"/>
          <w:i w:val="0"/>
          <w:highlight w:val="yellow"/>
        </w:rPr>
        <w:t>Dr. Tan Wei Ming</w:t>
      </w:r>
      <w:r>
        <w:rPr>
          <w:b w:val="0"/>
          <w:i w:val="0"/>
        </w:rPr>
        <w:t>, the doctor-in-charge. Access is limited to what the role requires. No one is given access before they have read this policy and confirmed in writing that they understand it.</w:t>
      </w:r>
    </w:p>
    <w:p>
      <w:r>
        <w:rPr>
          <w:i/>
          <w:color w:val="6B7280"/>
          <w:sz w:val="19"/>
        </w:rPr>
        <w:t>A confirmation email from a staff member saying "I understand the data security measures" satisfies this in writing — see the sample email templates in Appendix D.</w:t>
      </w:r>
    </w:p>
    <w:p>
      <w:r>
        <w:br w:type="page"/>
      </w:r>
    </w:p>
    <w:p>
      <w:pPr>
        <w:pStyle w:val="Heading1"/>
      </w:pPr>
      <w:r>
        <w:t>4. Training and Awareness</w:t>
      </w:r>
    </w:p>
    <w:p>
      <w:r>
        <w:rPr>
          <w:i/>
          <w:color w:val="9CA3AF"/>
          <w:sz w:val="19"/>
        </w:rPr>
        <w:t>Source: CS/DS Essentials item 8, clauses C.1–C.2; MOH Implementation Guide v2.0, Annex B12, p.45.</w:t>
      </w:r>
    </w:p>
    <w:p>
      <w:r>
        <w:rPr>
          <w:b w:val="0"/>
          <w:i w:val="0"/>
        </w:rPr>
        <w:t>All personnel must ensure that they attend cybersecurity and data security-related awareness training at least once every year. This is necessary to ensure that all personnel are aware of and kept up-to-date on the applicable security measures, and their roles and responsibilities in ensuring the security of health information.</w:t>
      </w:r>
    </w:p>
    <w:p>
      <w:r>
        <w:rPr>
          <w:b w:val="0"/>
          <w:i w:val="0"/>
        </w:rPr>
        <w:t>All personnel must abide by any cybersecurity or data security policies and practices that may be implemented by our organisation in our operations.</w:t>
      </w:r>
    </w:p>
    <w:p>
      <w:pPr>
        <w:pStyle w:val="Heading2"/>
      </w:pPr>
      <w:r>
        <w:t>Training record</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sz w:val="19"/>
              </w:rPr>
              <w:t>Date</w:t>
            </w:r>
          </w:p>
        </w:tc>
        <w:tc>
          <w:tcPr>
            <w:tcW w:type="dxa" w:w="2160"/>
          </w:tcPr>
          <w:p>
            <w:r>
              <w:rPr>
                <w:b/>
                <w:sz w:val="19"/>
              </w:rPr>
              <w:t>Attendee</w:t>
            </w:r>
          </w:p>
        </w:tc>
        <w:tc>
          <w:tcPr>
            <w:tcW w:type="dxa" w:w="2160"/>
          </w:tcPr>
          <w:p>
            <w:r>
              <w:rPr>
                <w:b/>
                <w:sz w:val="19"/>
              </w:rPr>
              <w:t>Topics covered</w:t>
            </w:r>
          </w:p>
        </w:tc>
        <w:tc>
          <w:tcPr>
            <w:tcW w:type="dxa" w:w="2160"/>
          </w:tcPr>
          <w:p>
            <w:r>
              <w:rPr>
                <w:b/>
                <w:sz w:val="19"/>
              </w:rPr>
              <w:t>Method</w:t>
            </w:r>
          </w:p>
        </w:tc>
      </w:tr>
      <w:tr>
        <w:tc>
          <w:tcPr>
            <w:tcW w:type="dxa" w:w="2160"/>
          </w:tcPr>
          <w:p>
            <w:r/>
            <w:r>
              <w:rPr>
                <w:sz w:val="19"/>
                <w:highlight w:val="yellow"/>
              </w:rPr>
              <w:t>12 Jan 2026</w:t>
            </w:r>
          </w:p>
        </w:tc>
        <w:tc>
          <w:tcPr>
            <w:tcW w:type="dxa" w:w="2160"/>
          </w:tcPr>
          <w:p>
            <w:r/>
            <w:r>
              <w:rPr>
                <w:sz w:val="19"/>
                <w:highlight w:val="yellow"/>
              </w:rPr>
              <w:t>Dr. Tan Wei Ming, Ms. Priya Nair</w:t>
            </w:r>
          </w:p>
        </w:tc>
        <w:tc>
          <w:tcPr>
            <w:tcW w:type="dxa" w:w="2160"/>
          </w:tcPr>
          <w:p>
            <w:r/>
            <w:r>
              <w:rPr>
                <w:sz w:val="19"/>
                <w:highlight w:val="yellow"/>
              </w:rPr>
              <w:t>Phishing emails, strong passphrases, not leaving records on the counter</w:t>
            </w:r>
          </w:p>
        </w:tc>
        <w:tc>
          <w:tcPr>
            <w:tcW w:type="dxa" w:w="2160"/>
          </w:tcPr>
          <w:p>
            <w:r/>
            <w:r>
              <w:rPr>
                <w:sz w:val="19"/>
                <w:highlight w:val="yellow"/>
              </w:rPr>
              <w:t>PDPC self-help e-learning, 1 hour, in clinic</w:t>
            </w:r>
          </w:p>
        </w:tc>
      </w:tr>
    </w:tbl>
    <w:p>
      <w:pPr>
        <w:spacing w:after="80"/>
      </w:pPr>
    </w:p>
    <w:p>
      <w:r>
        <w:rPr>
          <w:i/>
          <w:color w:val="6B7280"/>
          <w:sz w:val="19"/>
        </w:rPr>
        <w:t>PDPC’s free self-help and e-learning resources at pdpc.gov.sg satisfy this requirement — no paid vendor needed for a two-person clinic.</w:t>
      </w:r>
    </w:p>
    <w:p>
      <w:r>
        <w:br w:type="page"/>
      </w:r>
    </w:p>
    <w:p>
      <w:pPr>
        <w:pStyle w:val="Heading1"/>
      </w:pPr>
      <w:r>
        <w:t>5. Vendor and Outsourcing Management</w:t>
      </w:r>
    </w:p>
    <w:p>
      <w:r>
        <w:rPr>
          <w:i/>
          <w:color w:val="9CA3AF"/>
          <w:sz w:val="19"/>
        </w:rPr>
        <w:t>Source: CS/DS Essentials item 9, clauses C.3–C.5; MOH Implementation Guide v2.0, Annex B13, p.45, and Annex D Table 7, pp.49–50.</w:t>
      </w:r>
    </w:p>
    <w:p>
      <w:r>
        <w:rPr>
          <w:b w:val="0"/>
          <w:i w:val="0"/>
        </w:rPr>
        <w:t>Our organisation understands where our patient data is stored, what safeguards our software vendor has in place, and who is responsible for what when something goes wrong. This understanding is obtained in writing and kept on file.</w:t>
      </w:r>
    </w:p>
    <w:p>
      <w:pPr>
        <w:pStyle w:val="Heading2"/>
      </w:pPr>
      <w:r>
        <w:t>Vendor confirmation on file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sz w:val="19"/>
              </w:rPr>
              <w:t>Vendor</w:t>
            </w:r>
          </w:p>
        </w:tc>
        <w:tc>
          <w:tcPr>
            <w:tcW w:type="dxa" w:w="1728"/>
          </w:tcPr>
          <w:p>
            <w:r>
              <w:rPr>
                <w:b/>
                <w:sz w:val="19"/>
              </w:rPr>
              <w:t>System</w:t>
            </w:r>
          </w:p>
        </w:tc>
        <w:tc>
          <w:tcPr>
            <w:tcW w:type="dxa" w:w="1728"/>
          </w:tcPr>
          <w:p>
            <w:r>
              <w:rPr>
                <w:b/>
                <w:sz w:val="19"/>
              </w:rPr>
              <w:t>Certification confirmed</w:t>
            </w:r>
          </w:p>
        </w:tc>
        <w:tc>
          <w:tcPr>
            <w:tcW w:type="dxa" w:w="1728"/>
          </w:tcPr>
          <w:p>
            <w:r>
              <w:rPr>
                <w:b/>
                <w:sz w:val="19"/>
              </w:rPr>
              <w:t>Date confirmed</w:t>
            </w:r>
          </w:p>
        </w:tc>
        <w:tc>
          <w:tcPr>
            <w:tcW w:type="dxa" w:w="1728"/>
          </w:tcPr>
          <w:p>
            <w:r>
              <w:rPr>
                <w:b/>
                <w:sz w:val="19"/>
              </w:rPr>
              <w:t>Where filed</w:t>
            </w:r>
          </w:p>
        </w:tc>
      </w:tr>
      <w:tr>
        <w:tc>
          <w:tcPr>
            <w:tcW w:type="dxa" w:w="1728"/>
          </w:tcPr>
          <w:p>
            <w:r/>
            <w:r>
              <w:rPr>
                <w:sz w:val="19"/>
                <w:highlight w:val="yellow"/>
              </w:rPr>
              <w:t>ClinicFlow Pte Ltd</w:t>
            </w:r>
          </w:p>
        </w:tc>
        <w:tc>
          <w:tcPr>
            <w:tcW w:type="dxa" w:w="1728"/>
          </w:tcPr>
          <w:p>
            <w:r/>
            <w:r>
              <w:rPr>
                <w:sz w:val="19"/>
                <w:highlight w:val="yellow"/>
              </w:rPr>
              <w:t>ClinicFlow HIMS</w:t>
            </w:r>
          </w:p>
        </w:tc>
        <w:tc>
          <w:tcPr>
            <w:tcW w:type="dxa" w:w="1728"/>
          </w:tcPr>
          <w:p>
            <w:r/>
            <w:r>
              <w:rPr>
                <w:sz w:val="19"/>
                <w:highlight w:val="yellow"/>
              </w:rPr>
              <w:t>NEHR-connected, Cyber Essentials certified</w:t>
            </w:r>
          </w:p>
        </w:tc>
        <w:tc>
          <w:tcPr>
            <w:tcW w:type="dxa" w:w="1728"/>
          </w:tcPr>
          <w:p>
            <w:r/>
            <w:r>
              <w:rPr>
                <w:sz w:val="19"/>
                <w:highlight w:val="yellow"/>
              </w:rPr>
              <w:t>15 Jan 2026</w:t>
            </w:r>
          </w:p>
        </w:tc>
        <w:tc>
          <w:tcPr>
            <w:tcW w:type="dxa" w:w="1728"/>
          </w:tcPr>
          <w:p>
            <w:r/>
            <w:r>
              <w:rPr>
                <w:sz w:val="19"/>
                <w:highlight w:val="yellow"/>
              </w:rPr>
              <w:t>Email thread, "Compliance" folder</w:t>
            </w:r>
          </w:p>
        </w:tc>
      </w:tr>
    </w:tbl>
    <w:p>
      <w:pPr>
        <w:spacing w:after="80"/>
      </w:pPr>
    </w:p>
    <w:p>
      <w:r>
        <w:rPr>
          <w:i/>
          <w:color w:val="6B7280"/>
          <w:sz w:val="19"/>
        </w:rPr>
        <w:t>The full ten-question email to send your vendor — already written, one click to open — is in the companion deck, item 9.</w:t>
      </w:r>
    </w:p>
    <w:p>
      <w:pPr>
        <w:pStyle w:val="Heading1"/>
      </w:pPr>
      <w:r>
        <w:t>6. Security Review and Accountability</w:t>
      </w:r>
    </w:p>
    <w:p>
      <w:r>
        <w:rPr>
          <w:i/>
          <w:color w:val="9CA3AF"/>
          <w:sz w:val="19"/>
        </w:rPr>
        <w:t>Source: CS/DS Essentials item 10, clauses C.6–C.8; MOH Implementation Guide v2.0, Annex B14, p.45, and Annex B16, p.46.</w:t>
      </w:r>
    </w:p>
    <w:p>
      <w:r>
        <w:rPr>
          <w:b w:val="0"/>
          <w:i w:val="0"/>
          <w:highlight w:val="yellow"/>
        </w:rPr>
        <w:t>Dr. Tan Wei Ming</w:t>
      </w:r>
      <w:r>
        <w:rPr>
          <w:b w:val="0"/>
          <w:i w:val="0"/>
        </w:rPr>
        <w:t xml:space="preserve"> will review this policy and the clinic’s compliance with it every twelve months, in </w:t>
      </w:r>
      <w:r>
        <w:rPr>
          <w:b w:val="0"/>
          <w:i w:val="0"/>
          <w:highlight w:val="yellow"/>
        </w:rPr>
        <w:t>August</w:t>
      </w:r>
      <w:r>
        <w:rPr>
          <w:b w:val="0"/>
          <w:i w:val="0"/>
        </w:rPr>
        <w:t>. Any lapse found will be fixed at once, and additional training given where needed.</w:t>
      </w:r>
    </w:p>
    <w:p>
      <w:r>
        <w:rPr>
          <w:b w:val="0"/>
          <w:i w:val="0"/>
          <w:highlight w:val="yellow"/>
        </w:rPr>
        <w:t>Dr. Tan Wei Ming</w:t>
      </w:r>
      <w:r>
        <w:rPr>
          <w:b w:val="0"/>
          <w:i w:val="0"/>
        </w:rPr>
        <w:t xml:space="preserve"> is accountable for explaining the Policy to all new hires and other personnel. All personnel are required to familiarise themselves with, and comply with, this Policy. Failure to comply with this Policy may result in disciplinary and other action.</w:t>
      </w:r>
    </w:p>
    <w:p>
      <w:r>
        <w:br w:type="page"/>
      </w:r>
    </w:p>
    <w:p>
      <w:pPr>
        <w:pStyle w:val="Heading1"/>
      </w:pPr>
      <w:r>
        <w:t>7. Passwords, Equipment and Disposal</w:t>
      </w:r>
    </w:p>
    <w:p>
      <w:r>
        <w:rPr>
          <w:i/>
          <w:color w:val="9CA3AF"/>
          <w:sz w:val="19"/>
        </w:rPr>
        <w:t>Source: CS/DS Essentials clause A.8 (item 2), MOH Implementation Guide v2.0 Annex B2B, p.39; clause A.15 (item 4), Annex B3B, p.40; clause C.9 (item 11), Annex B15, p.46.</w:t>
      </w:r>
    </w:p>
    <w:p>
      <w:r>
        <w:rPr>
          <w:b w:val="0"/>
          <w:i w:val="0"/>
        </w:rPr>
        <w:t>Passwords are changed immediately on any suspected compromise or lost token.</w:t>
      </w:r>
    </w:p>
    <w:p>
      <w:r>
        <w:rPr>
          <w:b w:val="0"/>
          <w:i w:val="0"/>
        </w:rPr>
        <w:t xml:space="preserve">No computer, tablet or software is used for clinic work unless </w:t>
      </w:r>
      <w:r>
        <w:rPr>
          <w:b w:val="0"/>
          <w:i w:val="0"/>
          <w:highlight w:val="yellow"/>
        </w:rPr>
        <w:t>Dr. Tan Wei Ming</w:t>
      </w:r>
      <w:r>
        <w:rPr>
          <w:b w:val="0"/>
          <w:i w:val="0"/>
        </w:rPr>
        <w:t xml:space="preserve"> has approved it and added it to the asset register (Appendix B).</w:t>
      </w:r>
    </w:p>
    <w:p>
      <w:r>
        <w:rPr>
          <w:b w:val="0"/>
          <w:i w:val="0"/>
        </w:rPr>
        <w:t>No document containing patient information goes into a normal bin. Everything is shredded, including misprints, paper jams and test copies.</w:t>
      </w:r>
    </w:p>
    <w:p>
      <w:r>
        <w:br w:type="page"/>
      </w:r>
    </w:p>
    <w:p>
      <w:pPr>
        <w:pStyle w:val="Heading1"/>
      </w:pPr>
      <w:r>
        <w:t>8. Business Continuity Plan</w:t>
      </w:r>
    </w:p>
    <w:p>
      <w:r>
        <w:rPr>
          <w:i/>
          <w:color w:val="9CA3AF"/>
          <w:sz w:val="19"/>
        </w:rPr>
        <w:t>Source: CS/DS Essentials item 12, clause C.10; MOH Implementation Guide v2.0, Annex D, pp.48–52.</w:t>
      </w:r>
    </w:p>
    <w:p>
      <w:r>
        <w:rPr>
          <w:i/>
          <w:color w:val="6B7280"/>
          <w:sz w:val="19"/>
        </w:rPr>
        <w:t>Print this section separately and keep a paper copy — a digital plan is useless when the systems holding it are down.</w:t>
      </w:r>
    </w:p>
    <w:p>
      <w:pPr>
        <w:pStyle w:val="Heading2"/>
      </w:pPr>
      <w:r>
        <w:t>Critical functions</w:t>
      </w:r>
    </w:p>
    <w:p>
      <w:r>
        <w:rPr>
          <w:b w:val="0"/>
          <w:i w:val="0"/>
        </w:rPr>
        <w:t>Consultations and dispensing must continue during any outage. Everything else can wait.</w:t>
      </w:r>
    </w:p>
    <w:p>
      <w:pPr>
        <w:pStyle w:val="Heading2"/>
      </w:pPr>
      <w:r>
        <w:t>Paper fallback</w:t>
      </w:r>
    </w:p>
    <w:p>
      <w:r>
        <w:rPr>
          <w:b w:val="0"/>
          <w:i w:val="0"/>
        </w:rPr>
        <w:t>Printed stacks of a blank consultation note, an appointment sheet, and a billing slip are kept at the reception counter and in the consultation room. Paper notes from the outage are entered into the CMS as soon as practically feasible after restoration.</w:t>
      </w:r>
    </w:p>
    <w:p>
      <w:pPr>
        <w:pStyle w:val="Heading2"/>
      </w:pPr>
      <w:r>
        <w:t>High-risk patients</w:t>
      </w:r>
    </w:p>
    <w:p>
      <w:r>
        <w:rPr>
          <w:b w:val="0"/>
          <w:i w:val="0"/>
        </w:rPr>
        <w:t xml:space="preserve">An offline list of patients on critical medication is kept at </w:t>
      </w:r>
      <w:r>
        <w:rPr>
          <w:b w:val="0"/>
          <w:i w:val="0"/>
          <w:highlight w:val="yellow"/>
        </w:rPr>
        <w:t>the locked filing cabinet</w:t>
      </w:r>
      <w:r>
        <w:rPr>
          <w:b w:val="0"/>
          <w:i w:val="0"/>
        </w:rPr>
        <w:t>, for contacting during a multi-day outage.</w:t>
      </w:r>
    </w:p>
    <w:p>
      <w:pPr>
        <w:pStyle w:val="Heading2"/>
      </w:pPr>
      <w:r>
        <w:t>Communications</w:t>
      </w:r>
    </w:p>
    <w:p>
      <w:r>
        <w:rPr>
          <w:b w:val="0"/>
          <w:i w:val="0"/>
        </w:rPr>
        <w:t xml:space="preserve">Staff numbers, </w:t>
      </w:r>
      <w:r>
        <w:rPr>
          <w:b w:val="0"/>
          <w:i w:val="0"/>
          <w:highlight w:val="yellow"/>
        </w:rPr>
        <w:t>ClinicFlow Pte Ltd</w:t>
      </w:r>
      <w:r>
        <w:rPr>
          <w:b w:val="0"/>
          <w:i w:val="0"/>
        </w:rPr>
        <w:t>’s support number (</w:t>
      </w:r>
      <w:r>
        <w:rPr>
          <w:b w:val="0"/>
          <w:i w:val="0"/>
          <w:highlight w:val="yellow"/>
        </w:rPr>
        <w:t>6123 4567</w:t>
      </w:r>
      <w:r>
        <w:rPr>
          <w:b w:val="0"/>
          <w:i w:val="0"/>
        </w:rPr>
        <w:t xml:space="preserve">), and </w:t>
      </w:r>
      <w:r>
        <w:rPr>
          <w:b w:val="0"/>
          <w:i w:val="0"/>
          <w:highlight w:val="yellow"/>
        </w:rPr>
        <w:t>Dr. Tan Wei Ming’s mobile (9123 4567)</w:t>
      </w:r>
      <w:r>
        <w:rPr>
          <w:b w:val="0"/>
          <w:i w:val="0"/>
        </w:rPr>
        <w:t xml:space="preserve"> are kept on paper at </w:t>
      </w:r>
      <w:r>
        <w:rPr>
          <w:b w:val="0"/>
          <w:i w:val="0"/>
          <w:highlight w:val="yellow"/>
        </w:rPr>
        <w:t>reception</w:t>
      </w:r>
      <w:r>
        <w:rPr>
          <w:b w:val="0"/>
          <w:i w:val="0"/>
        </w:rPr>
        <w:t xml:space="preserve"> — not only in a phone.</w:t>
      </w:r>
    </w:p>
    <w:p>
      <w:pPr>
        <w:pStyle w:val="Heading2"/>
      </w:pPr>
      <w:r>
        <w:t>Testing</w:t>
      </w:r>
    </w:p>
    <w:p>
      <w:r>
        <w:rPr>
          <w:b w:val="0"/>
          <w:i w:val="0"/>
        </w:rPr>
        <w:t xml:space="preserve">This plan is tested once a year, in </w:t>
      </w:r>
      <w:r>
        <w:rPr>
          <w:b w:val="0"/>
          <w:i w:val="0"/>
          <w:highlight w:val="yellow"/>
        </w:rPr>
        <w:t>August</w:t>
      </w:r>
      <w:r>
        <w:rPr>
          <w:b w:val="0"/>
          <w:i w:val="0"/>
        </w:rPr>
        <w:t>, by running one morning on the paper templates above. A BCP that has never been tested is a plan that may fail when it matters most.</w:t>
      </w:r>
    </w:p>
    <w:p>
      <w:r>
        <w:br w:type="page"/>
      </w:r>
    </w:p>
    <w:p>
      <w:pPr>
        <w:pStyle w:val="Heading1"/>
      </w:pPr>
      <w:r>
        <w:t>9. Incident Response Plan</w:t>
      </w:r>
    </w:p>
    <w:p>
      <w:r>
        <w:rPr>
          <w:i/>
          <w:color w:val="9CA3AF"/>
          <w:sz w:val="19"/>
        </w:rPr>
        <w:t>Source: CS/DS Essentials item 13, clauses C.11–C.14; MOH Implementation Guide v2.0, Annex E, pp.53–59.</w:t>
      </w:r>
    </w:p>
    <w:p>
      <w:pPr>
        <w:pStyle w:val="Heading2"/>
      </w:pPr>
      <w:r>
        <w:t>Roles</w:t>
      </w:r>
    </w:p>
    <w:p>
      <w:r>
        <w:rPr>
          <w:i/>
          <w:color w:val="6B7280"/>
          <w:sz w:val="19"/>
        </w:rPr>
        <w:t>MOH confirms a solo practice does not need four separate people — one or two roles is fine.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sz w:val="19"/>
              </w:rPr>
              <w:t>Role</w:t>
            </w:r>
          </w:p>
        </w:tc>
        <w:tc>
          <w:tcPr>
            <w:tcW w:type="dxa" w:w="2880"/>
          </w:tcPr>
          <w:p>
            <w:r>
              <w:rPr>
                <w:b/>
                <w:sz w:val="19"/>
              </w:rPr>
              <w:t>Name</w:t>
            </w:r>
          </w:p>
        </w:tc>
        <w:tc>
          <w:tcPr>
            <w:tcW w:type="dxa" w:w="2880"/>
          </w:tcPr>
          <w:p>
            <w:r>
              <w:rPr>
                <w:b/>
                <w:sz w:val="19"/>
              </w:rPr>
              <w:t>Contact</w:t>
            </w:r>
          </w:p>
        </w:tc>
      </w:tr>
      <w:tr>
        <w:tc>
          <w:tcPr>
            <w:tcW w:type="dxa" w:w="2880"/>
          </w:tcPr>
          <w:p>
            <w:r/>
            <w:r>
              <w:rPr>
                <w:sz w:val="19"/>
              </w:rPr>
              <w:t>Incident commander, DPO and communications</w:t>
            </w:r>
          </w:p>
        </w:tc>
        <w:tc>
          <w:tcPr>
            <w:tcW w:type="dxa" w:w="2880"/>
          </w:tcPr>
          <w:p>
            <w:r/>
            <w:r>
              <w:rPr>
                <w:sz w:val="19"/>
                <w:highlight w:val="yellow"/>
              </w:rPr>
              <w:t>Dr. Tan Wei Ming</w:t>
            </w:r>
          </w:p>
        </w:tc>
        <w:tc>
          <w:tcPr>
            <w:tcW w:type="dxa" w:w="2880"/>
          </w:tcPr>
          <w:p>
            <w:r/>
            <w:r>
              <w:rPr>
                <w:sz w:val="19"/>
                <w:highlight w:val="yellow"/>
              </w:rPr>
              <w:t>9123 4567</w:t>
            </w:r>
          </w:p>
        </w:tc>
      </w:tr>
      <w:tr>
        <w:tc>
          <w:tcPr>
            <w:tcW w:type="dxa" w:w="2880"/>
          </w:tcPr>
          <w:p>
            <w:r/>
            <w:r>
              <w:rPr>
                <w:sz w:val="19"/>
              </w:rPr>
              <w:t>Technical response</w:t>
            </w:r>
          </w:p>
        </w:tc>
        <w:tc>
          <w:tcPr>
            <w:tcW w:type="dxa" w:w="2880"/>
          </w:tcPr>
          <w:p>
            <w:r/>
            <w:r>
              <w:rPr>
                <w:sz w:val="19"/>
                <w:highlight w:val="yellow"/>
              </w:rPr>
              <w:t>ClinicFlow Pte Ltd</w:t>
            </w:r>
          </w:p>
        </w:tc>
        <w:tc>
          <w:tcPr>
            <w:tcW w:type="dxa" w:w="2880"/>
          </w:tcPr>
          <w:p>
            <w:r/>
            <w:r>
              <w:rPr>
                <w:sz w:val="19"/>
                <w:highlight w:val="yellow"/>
              </w:rPr>
              <w:t>6123 4567</w:t>
            </w:r>
          </w:p>
        </w:tc>
      </w:tr>
      <w:tr>
        <w:tc>
          <w:tcPr>
            <w:tcW w:type="dxa" w:w="2880"/>
          </w:tcPr>
          <w:p>
            <w:r/>
            <w:r>
              <w:rPr>
                <w:sz w:val="19"/>
              </w:rPr>
              <w:t>Recording what happened</w:t>
            </w:r>
          </w:p>
        </w:tc>
        <w:tc>
          <w:tcPr>
            <w:tcW w:type="dxa" w:w="2880"/>
          </w:tcPr>
          <w:p>
            <w:r/>
            <w:r>
              <w:rPr>
                <w:sz w:val="19"/>
                <w:highlight w:val="yellow"/>
              </w:rPr>
              <w:t>Ms. Priya Nair</w:t>
            </w:r>
          </w:p>
        </w:tc>
        <w:tc>
          <w:tcPr>
            <w:tcW w:type="dxa" w:w="2880"/>
          </w:tcPr>
          <w:p>
            <w:r/>
            <w:r>
              <w:rPr>
                <w:sz w:val="19"/>
                <w:highlight w:val="yellow"/>
              </w:rPr>
              <w:t>or Dr. Tan if alone</w:t>
            </w:r>
          </w:p>
        </w:tc>
      </w:tr>
    </w:tbl>
    <w:p>
      <w:pPr>
        <w:spacing w:after="80"/>
      </w:pPr>
    </w:p>
    <w:p>
      <w:pPr>
        <w:pStyle w:val="Heading2"/>
      </w:pPr>
      <w:r>
        <w:t>How you spot an incident</w:t>
      </w:r>
    </w:p>
    <w:p>
      <w:r>
        <w:t>☐  Files renamed with odd extensions, or a payment-demand message on screen</w:t>
      </w:r>
    </w:p>
    <w:p>
      <w:r>
        <w:t>☐  Patient records that opened yesterday will not open today</w:t>
      </w:r>
    </w:p>
    <w:p>
      <w:r>
        <w:t>☐  Emails going out from the clinic account that nobody sent</w:t>
      </w:r>
    </w:p>
    <w:p>
      <w:r>
        <w:t>☐  An email with patient results sent to the wrong person</w:t>
      </w:r>
    </w:p>
    <w:p>
      <w:r>
        <w:t>☐  A clinic laptop or paper file that cannot be found</w:t>
      </w:r>
    </w:p>
    <w:p>
      <w:r>
        <w:t>☐  A former staff member’s login still active after they left</w:t>
      </w:r>
    </w:p>
    <w:p>
      <w:pPr>
        <w:pStyle w:val="Heading2"/>
      </w:pPr>
      <w:r>
        <w:t>Reporting timelines</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sz w:val="19"/>
              </w:rPr>
              <w:t>Who</w:t>
            </w:r>
          </w:p>
        </w:tc>
        <w:tc>
          <w:tcPr>
            <w:tcW w:type="dxa" w:w="2880"/>
          </w:tcPr>
          <w:p>
            <w:r>
              <w:rPr>
                <w:b/>
                <w:sz w:val="19"/>
              </w:rPr>
              <w:t>When</w:t>
            </w:r>
          </w:p>
        </w:tc>
        <w:tc>
          <w:tcPr>
            <w:tcW w:type="dxa" w:w="2880"/>
          </w:tcPr>
          <w:p>
            <w:r>
              <w:rPr>
                <w:b/>
                <w:sz w:val="19"/>
              </w:rPr>
              <w:t>What</w:t>
            </w:r>
          </w:p>
        </w:tc>
      </w:tr>
      <w:tr>
        <w:tc>
          <w:tcPr>
            <w:tcW w:type="dxa" w:w="2880"/>
          </w:tcPr>
          <w:p>
            <w:r/>
            <w:r>
              <w:rPr>
                <w:sz w:val="19"/>
              </w:rPr>
              <w:t>MOH</w:t>
            </w:r>
          </w:p>
        </w:tc>
        <w:tc>
          <w:tcPr>
            <w:tcW w:type="dxa" w:w="2880"/>
          </w:tcPr>
          <w:p>
            <w:r/>
            <w:r>
              <w:rPr>
                <w:sz w:val="19"/>
              </w:rPr>
              <w:t>Within 2 hours of confirming it</w:t>
            </w:r>
          </w:p>
        </w:tc>
        <w:tc>
          <w:tcPr>
            <w:tcW w:type="dxa" w:w="2880"/>
          </w:tcPr>
          <w:p>
            <w:r/>
            <w:r>
              <w:rPr>
                <w:sz w:val="19"/>
              </w:rPr>
              <w:t>All confirmed cybersecurity incidents</w:t>
            </w:r>
          </w:p>
        </w:tc>
      </w:tr>
      <w:tr>
        <w:tc>
          <w:tcPr>
            <w:tcW w:type="dxa" w:w="2880"/>
          </w:tcPr>
          <w:p>
            <w:r/>
            <w:r>
              <w:rPr>
                <w:sz w:val="19"/>
              </w:rPr>
              <w:t>PDPC</w:t>
            </w:r>
          </w:p>
        </w:tc>
        <w:tc>
          <w:tcPr>
            <w:tcW w:type="dxa" w:w="2880"/>
          </w:tcPr>
          <w:p>
            <w:r/>
            <w:r>
              <w:rPr>
                <w:sz w:val="19"/>
              </w:rPr>
              <w:t>Within 72 hours</w:t>
            </w:r>
          </w:p>
        </w:tc>
        <w:tc>
          <w:tcPr>
            <w:tcW w:type="dxa" w:w="2880"/>
          </w:tcPr>
          <w:p>
            <w:r/>
            <w:r>
              <w:rPr>
                <w:sz w:val="19"/>
              </w:rPr>
              <w:t>Breaches likely to cause significant harm, or 500+ people</w:t>
            </w:r>
          </w:p>
        </w:tc>
      </w:tr>
      <w:tr>
        <w:tc>
          <w:tcPr>
            <w:tcW w:type="dxa" w:w="2880"/>
          </w:tcPr>
          <w:p>
            <w:r/>
            <w:r>
              <w:rPr>
                <w:sz w:val="19"/>
              </w:rPr>
              <w:t>Police</w:t>
            </w:r>
          </w:p>
        </w:tc>
        <w:tc>
          <w:tcPr>
            <w:tcW w:type="dxa" w:w="2880"/>
          </w:tcPr>
          <w:p>
            <w:r/>
            <w:r>
              <w:rPr>
                <w:sz w:val="19"/>
              </w:rPr>
              <w:t>As soon as possible</w:t>
            </w:r>
          </w:p>
        </w:tc>
        <w:tc>
          <w:tcPr>
            <w:tcW w:type="dxa" w:w="2880"/>
          </w:tcPr>
          <w:p>
            <w:r/>
            <w:r>
              <w:rPr>
                <w:sz w:val="19"/>
              </w:rPr>
              <w:t>Ransomware, monetary loss, or same threshold</w:t>
            </w:r>
          </w:p>
        </w:tc>
      </w:tr>
    </w:tbl>
    <w:p>
      <w:pPr>
        <w:spacing w:after="80"/>
      </w:pPr>
    </w:p>
    <w:p>
      <w:r>
        <w:rPr>
          <w:i/>
          <w:color w:val="6B7280"/>
          <w:sz w:val="19"/>
        </w:rPr>
        <w:t>MOH’s own incident-reporting form is not live yet (arrives 2027). Until then: email hia_enquiries@moh.gov.sg within 2 hours with the incident details and keep the sent copy. File the PDPC notification through the PDPC form (works today) and lodge a police report through the SPF e-service form where ransomware or monetary loss is involved.</w:t>
      </w:r>
    </w:p>
    <w:p>
      <w:r>
        <w:br w:type="page"/>
      </w:r>
    </w:p>
    <w:p>
      <w:pPr>
        <w:pStyle w:val="Heading1"/>
      </w:pPr>
      <w:r>
        <w:t>The Ransomware Response Card</w:t>
      </w:r>
    </w:p>
    <w:p>
      <w:r>
        <w:rPr>
          <w:i/>
          <w:color w:val="6B7280"/>
          <w:sz w:val="19"/>
        </w:rPr>
        <w:t>Source: MOH Implementation Guide v2.0, Table 8, p.51. Print this page on its own and pin it inside a cupboard door — this is a card, not a reading section.</w:t>
      </w:r>
    </w:p>
    <w:p>
      <w:pPr>
        <w:pStyle w:val="Heading2"/>
      </w:pPr>
      <w:r>
        <w:t>How to spot it</w:t>
      </w:r>
    </w:p>
    <w:p>
      <w:r>
        <w:rPr>
          <w:b w:val="0"/>
          <w:i w:val="0"/>
        </w:rPr>
        <w:t>Files cannot be opened or have strange names. A ransom message has appeared on screen.</w:t>
      </w:r>
    </w:p>
    <w:p>
      <w:pPr>
        <w:pStyle w:val="Heading2"/>
      </w:pPr>
      <w:r>
        <w:t>1) Disconnect</w:t>
      </w:r>
    </w:p>
    <w:p>
      <w:r>
        <w:rPr>
          <w:b w:val="0"/>
          <w:i w:val="0"/>
        </w:rPr>
        <w:t>Unplug the network cable or turn off Wi-Fi on affected computers. Do not switch the computer off completely — this destroys forensic evidence.</w:t>
      </w:r>
    </w:p>
    <w:p>
      <w:pPr>
        <w:pStyle w:val="Heading2"/>
      </w:pPr>
      <w:r>
        <w:t>2) Stop and assess</w:t>
      </w:r>
    </w:p>
    <w:p>
      <w:r>
        <w:rPr>
          <w:b w:val="0"/>
          <w:i w:val="0"/>
        </w:rPr>
        <w:t>Can you still see patients safely? If yes, activate the Business Continuity Plan (switch to paper). If no, divert patients, tell them promptly, or reschedule.</w:t>
      </w:r>
    </w:p>
    <w:p>
      <w:pPr>
        <w:pStyle w:val="Heading2"/>
      </w:pPr>
      <w:r>
        <w:t>3) Call for help</w:t>
      </w:r>
    </w:p>
    <w:p>
      <w:r>
        <w:rPr>
          <w:b w:val="0"/>
          <w:i w:val="0"/>
          <w:highlight w:val="yellow"/>
        </w:rPr>
        <w:t>ClinicFlow Pte Ltd support: 6123 4567</w:t>
      </w:r>
      <w:r>
        <w:rPr>
          <w:b w:val="0"/>
          <w:i w:val="0"/>
        </w:rPr>
        <w:t xml:space="preserve">. </w:t>
      </w:r>
      <w:r>
        <w:rPr>
          <w:b w:val="0"/>
          <w:i w:val="0"/>
          <w:highlight w:val="yellow"/>
        </w:rPr>
        <w:t>Dr. Tan Wei Ming: 9123 4567</w:t>
      </w:r>
      <w:r>
        <w:rPr>
          <w:b w:val="0"/>
          <w:i w:val="0"/>
        </w:rPr>
        <w:t>.</w:t>
      </w:r>
    </w:p>
    <w:p>
      <w:pPr>
        <w:pStyle w:val="Heading2"/>
      </w:pPr>
      <w:r>
        <w:t>4) Do not pay the ransom</w:t>
      </w:r>
    </w:p>
    <w:p>
      <w:r>
        <w:rPr>
          <w:b w:val="0"/>
          <w:i w:val="0"/>
        </w:rPr>
        <w:t>Paying does not guarantee recovery. Consult and wait for advice from your IT vendor first.</w:t>
      </w:r>
    </w:p>
    <w:p>
      <w:pPr>
        <w:pStyle w:val="Heading2"/>
      </w:pPr>
      <w:r>
        <w:t>5) Report if patient data is affected</w:t>
      </w:r>
    </w:p>
    <w:p>
      <w:r>
        <w:rPr>
          <w:b w:val="0"/>
          <w:i w:val="0"/>
        </w:rPr>
        <w:t>See the reporting timelines table above.</w:t>
      </w:r>
    </w:p>
    <w:p>
      <w:pPr>
        <w:pStyle w:val="Heading2"/>
      </w:pPr>
      <w:r>
        <w:t>6) Wait for the "all clear"</w:t>
      </w:r>
    </w:p>
    <w:p>
      <w:r>
        <w:rPr>
          <w:b w:val="0"/>
          <w:i w:val="0"/>
        </w:rPr>
        <w:t>Only restart and restore systems once your IT vendor confirms it is safe. Change all passwords after restoration.</w:t>
      </w:r>
    </w:p>
    <w:p>
      <w:pPr>
        <w:pStyle w:val="Heading2"/>
      </w:pPr>
      <w:r>
        <w:t>After the incident</w:t>
      </w:r>
    </w:p>
    <w:p>
      <w:r>
        <w:rPr>
          <w:b w:val="0"/>
          <w:i w:val="0"/>
        </w:rPr>
        <w:t>Write down what happened and when — times, which machines, what patient information might be involved, roughly how many patients, what you did. Photograph error messages.</w:t>
      </w:r>
    </w:p>
    <w:p>
      <w:pPr>
        <w:pBdr>
          <w:bottom w:val="single" w:sz="6" w:space="1" w:color="E2E8F0"/>
        </w:pBdr>
      </w:pPr>
    </w:p>
    <w:p>
      <w:r>
        <w:rPr>
          <w:b/>
          <w:i w:val="0"/>
        </w:rPr>
        <w:t>Prepared by: Dr. Tan Wei Ming  |  Version: 1.0  |  Date: 18 August 2026</w:t>
      </w:r>
    </w:p>
    <w:p>
      <w:pPr>
        <w:pStyle w:val="Heading1"/>
      </w:pPr>
      <w:r>
        <w:t>Adoption</w:t>
      </w:r>
    </w:p>
    <w:p>
      <w:r>
        <w:t>This policy is adopted for this clinic from the date signed below. It describes how the clinic actually works, not how it ought to. Review it at least once a year, and whenever the clinic changes its software, its premises or its staff.</w:t>
      </w:r>
    </w:p>
    <w:p>
      <w:r>
        <w:t>Signed: ______________________________________</w:t>
      </w:r>
    </w:p>
    <w:p>
      <w:r>
        <w:t>Name: Dr. Tan Wei Ming</w:t>
      </w:r>
    </w:p>
    <w:p>
      <w:r>
        <w:t>Position: Clinic owner and licensee</w:t>
      </w:r>
    </w:p>
    <w:p>
      <w:r>
        <w:t>Date: ______________________</w:t>
      </w:r>
    </w:p>
    <w:p>
      <w:r>
        <w:br w:type="page"/>
      </w:r>
    </w:p>
    <w:p>
      <w:pPr>
        <w:pStyle w:val="Heading1"/>
      </w:pPr>
      <w:r>
        <w:t>Appendix A: Account Register</w:t>
      </w:r>
    </w:p>
    <w:p>
      <w:r>
        <w:rPr>
          <w:i/>
          <w:color w:val="9CA3AF"/>
          <w:sz w:val="19"/>
        </w:rPr>
        <w:t>Source: CS/DS Essentials clause A.5.1; MOH Implementation Guide v2.0, Annex B2, p.38.</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sz w:val="19"/>
              </w:rPr>
              <w:t>Name</w:t>
            </w:r>
          </w:p>
        </w:tc>
        <w:tc>
          <w:tcPr>
            <w:tcW w:type="dxa" w:w="1440"/>
          </w:tcPr>
          <w:p>
            <w:r>
              <w:rPr>
                <w:b/>
                <w:sz w:val="19"/>
              </w:rPr>
              <w:t>Username</w:t>
            </w:r>
          </w:p>
        </w:tc>
        <w:tc>
          <w:tcPr>
            <w:tcW w:type="dxa" w:w="1440"/>
          </w:tcPr>
          <w:p>
            <w:r>
              <w:rPr>
                <w:b/>
                <w:sz w:val="19"/>
              </w:rPr>
              <w:t>Department</w:t>
            </w:r>
          </w:p>
        </w:tc>
        <w:tc>
          <w:tcPr>
            <w:tcW w:type="dxa" w:w="1440"/>
          </w:tcPr>
          <w:p>
            <w:r>
              <w:rPr>
                <w:b/>
                <w:sz w:val="19"/>
              </w:rPr>
              <w:t>Role</w:t>
            </w:r>
          </w:p>
        </w:tc>
        <w:tc>
          <w:tcPr>
            <w:tcW w:type="dxa" w:w="1440"/>
          </w:tcPr>
          <w:p>
            <w:r>
              <w:rPr>
                <w:b/>
                <w:sz w:val="19"/>
              </w:rPr>
              <w:t>Access created</w:t>
            </w:r>
          </w:p>
        </w:tc>
        <w:tc>
          <w:tcPr>
            <w:tcW w:type="dxa" w:w="1440"/>
          </w:tcPr>
          <w:p>
            <w:r>
              <w:rPr>
                <w:b/>
                <w:sz w:val="19"/>
              </w:rPr>
              <w:t>Last log-on</w:t>
            </w:r>
          </w:p>
        </w:tc>
      </w:tr>
      <w:tr>
        <w:tc>
          <w:tcPr>
            <w:tcW w:type="dxa" w:w="1440"/>
          </w:tcPr>
          <w:p>
            <w:r/>
            <w:r>
              <w:rPr>
                <w:sz w:val="19"/>
                <w:highlight w:val="yellow"/>
              </w:rPr>
              <w:t>Dr. Tan Wei Ming</w:t>
            </w:r>
          </w:p>
        </w:tc>
        <w:tc>
          <w:tcPr>
            <w:tcW w:type="dxa" w:w="1440"/>
          </w:tcPr>
          <w:p>
            <w:r/>
            <w:r>
              <w:rPr>
                <w:sz w:val="19"/>
                <w:highlight w:val="yellow"/>
              </w:rPr>
              <w:t>dr.tan</w:t>
            </w:r>
          </w:p>
        </w:tc>
        <w:tc>
          <w:tcPr>
            <w:tcW w:type="dxa" w:w="1440"/>
          </w:tcPr>
          <w:p>
            <w:r/>
            <w:r>
              <w:rPr>
                <w:sz w:val="19"/>
                <w:highlight w:val="yellow"/>
              </w:rPr>
              <w:t>Clinical</w:t>
            </w:r>
          </w:p>
        </w:tc>
        <w:tc>
          <w:tcPr>
            <w:tcW w:type="dxa" w:w="1440"/>
          </w:tcPr>
          <w:p>
            <w:r/>
            <w:r>
              <w:rPr>
                <w:sz w:val="19"/>
                <w:highlight w:val="yellow"/>
              </w:rPr>
              <w:t>Administrator</w:t>
            </w:r>
          </w:p>
        </w:tc>
        <w:tc>
          <w:tcPr>
            <w:tcW w:type="dxa" w:w="1440"/>
          </w:tcPr>
          <w:p>
            <w:r/>
            <w:r>
              <w:rPr>
                <w:sz w:val="19"/>
                <w:highlight w:val="yellow"/>
              </w:rPr>
              <w:t>01 Jan 2026</w:t>
            </w:r>
          </w:p>
        </w:tc>
        <w:tc>
          <w:tcPr>
            <w:tcW w:type="dxa" w:w="1440"/>
          </w:tcPr>
          <w:p>
            <w:r/>
            <w:r>
              <w:rPr>
                <w:sz w:val="19"/>
                <w:highlight w:val="yellow"/>
              </w:rPr>
              <w:t>18 Aug 2026</w:t>
            </w:r>
          </w:p>
        </w:tc>
      </w:tr>
      <w:tr>
        <w:tc>
          <w:tcPr>
            <w:tcW w:type="dxa" w:w="1440"/>
          </w:tcPr>
          <w:p>
            <w:r/>
            <w:r>
              <w:rPr>
                <w:sz w:val="19"/>
                <w:highlight w:val="yellow"/>
              </w:rPr>
              <w:t>Priya Nair</w:t>
            </w:r>
          </w:p>
        </w:tc>
        <w:tc>
          <w:tcPr>
            <w:tcW w:type="dxa" w:w="1440"/>
          </w:tcPr>
          <w:p>
            <w:r/>
            <w:r>
              <w:rPr>
                <w:sz w:val="19"/>
                <w:highlight w:val="yellow"/>
              </w:rPr>
              <w:t>p.nair</w:t>
            </w:r>
          </w:p>
        </w:tc>
        <w:tc>
          <w:tcPr>
            <w:tcW w:type="dxa" w:w="1440"/>
          </w:tcPr>
          <w:p>
            <w:r/>
            <w:r>
              <w:rPr>
                <w:sz w:val="19"/>
                <w:highlight w:val="yellow"/>
              </w:rPr>
              <w:t>Reception</w:t>
            </w:r>
          </w:p>
        </w:tc>
        <w:tc>
          <w:tcPr>
            <w:tcW w:type="dxa" w:w="1440"/>
          </w:tcPr>
          <w:p>
            <w:r/>
            <w:r>
              <w:rPr>
                <w:sz w:val="19"/>
                <w:highlight w:val="yellow"/>
              </w:rPr>
              <w:t>Standard user</w:t>
            </w:r>
          </w:p>
        </w:tc>
        <w:tc>
          <w:tcPr>
            <w:tcW w:type="dxa" w:w="1440"/>
          </w:tcPr>
          <w:p>
            <w:r/>
            <w:r>
              <w:rPr>
                <w:sz w:val="19"/>
                <w:highlight w:val="yellow"/>
              </w:rPr>
              <w:t>01 Jan 2026</w:t>
            </w:r>
          </w:p>
        </w:tc>
        <w:tc>
          <w:tcPr>
            <w:tcW w:type="dxa" w:w="1440"/>
          </w:tcPr>
          <w:p>
            <w:r/>
            <w:r>
              <w:rPr>
                <w:sz w:val="19"/>
                <w:highlight w:val="yellow"/>
              </w:rPr>
              <w:t>18 Aug 2026</w:t>
            </w:r>
          </w:p>
        </w:tc>
      </w:tr>
      <w:tr>
        <w:tc>
          <w:tcPr>
            <w:tcW w:type="dxa" w:w="1440"/>
          </w:tcPr>
          <w:p>
            <w:r/>
            <w:r>
              <w:rPr>
                <w:sz w:val="19"/>
                <w:highlight w:val="yellow"/>
              </w:rPr>
              <w:t>ClinicFlow Pte Ltd (support)</w:t>
            </w:r>
          </w:p>
        </w:tc>
        <w:tc>
          <w:tcPr>
            <w:tcW w:type="dxa" w:w="1440"/>
          </w:tcPr>
          <w:p>
            <w:r/>
            <w:r>
              <w:rPr>
                <w:sz w:val="19"/>
                <w:highlight w:val="yellow"/>
              </w:rPr>
              <w:t>clinicflow.support</w:t>
            </w:r>
          </w:p>
        </w:tc>
        <w:tc>
          <w:tcPr>
            <w:tcW w:type="dxa" w:w="1440"/>
          </w:tcPr>
          <w:p>
            <w:r/>
            <w:r>
              <w:rPr>
                <w:sz w:val="19"/>
                <w:highlight w:val="yellow"/>
              </w:rPr>
              <w:t>Vendor</w:t>
            </w:r>
          </w:p>
        </w:tc>
        <w:tc>
          <w:tcPr>
            <w:tcW w:type="dxa" w:w="1440"/>
          </w:tcPr>
          <w:p>
            <w:r/>
            <w:r>
              <w:rPr>
                <w:sz w:val="19"/>
                <w:highlight w:val="yellow"/>
              </w:rPr>
              <w:t>Standard user, NDA on file</w:t>
            </w:r>
          </w:p>
        </w:tc>
        <w:tc>
          <w:tcPr>
            <w:tcW w:type="dxa" w:w="1440"/>
          </w:tcPr>
          <w:p>
            <w:r/>
            <w:r>
              <w:rPr>
                <w:sz w:val="19"/>
                <w:highlight w:val="yellow"/>
              </w:rPr>
              <w:t>01 Jan 2026</w:t>
            </w:r>
          </w:p>
        </w:tc>
        <w:tc>
          <w:tcPr>
            <w:tcW w:type="dxa" w:w="1440"/>
          </w:tcPr>
          <w:p>
            <w:r/>
            <w:r>
              <w:rPr>
                <w:sz w:val="19"/>
                <w:highlight w:val="yellow"/>
              </w:rPr>
              <w:t>NA</w:t>
            </w:r>
          </w:p>
        </w:tc>
      </w:tr>
    </w:tbl>
    <w:p>
      <w:pPr>
        <w:spacing w:after="80"/>
      </w:pPr>
    </w:p>
    <w:p>
      <w:r>
        <w:rPr>
          <w:i/>
          <w:color w:val="6B7280"/>
          <w:sz w:val="19"/>
        </w:rPr>
        <w:t>Update this table whenever someone joins, leaves, or changes role. Sweep for unused accounts (60+ days inactive) at the annual review.</w:t>
      </w:r>
    </w:p>
    <w:p>
      <w:r>
        <w:br w:type="page"/>
      </w:r>
    </w:p>
    <w:p>
      <w:pPr>
        <w:pStyle w:val="Heading1"/>
      </w:pPr>
      <w:r>
        <w:t>Appendix B: Asset Register</w:t>
      </w:r>
    </w:p>
    <w:p>
      <w:r>
        <w:rPr>
          <w:i/>
          <w:color w:val="9CA3AF"/>
          <w:sz w:val="19"/>
        </w:rPr>
        <w:t>Source: CS/DS Essentials clauses A.15–A.17; MOH Implementation Guide v2.0, Annex B4, p.71 — MOH’s own column layout.</w:t>
      </w:r>
    </w:p>
    <w:tbl>
      <w:tblPr>
        <w:tblStyle w:val="LightGrid-Accent1"/>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b/>
                <w:sz w:val="19"/>
              </w:rPr>
              <w:t>Asset ID</w:t>
            </w:r>
          </w:p>
        </w:tc>
        <w:tc>
          <w:tcPr>
            <w:tcW w:type="dxa" w:w="1234"/>
          </w:tcPr>
          <w:p>
            <w:r>
              <w:rPr>
                <w:b/>
                <w:sz w:val="19"/>
              </w:rPr>
              <w:t>Asset name</w:t>
            </w:r>
          </w:p>
        </w:tc>
        <w:tc>
          <w:tcPr>
            <w:tcW w:type="dxa" w:w="1234"/>
          </w:tcPr>
          <w:p>
            <w:r>
              <w:rPr>
                <w:b/>
                <w:sz w:val="19"/>
              </w:rPr>
              <w:t>Type</w:t>
            </w:r>
          </w:p>
        </w:tc>
        <w:tc>
          <w:tcPr>
            <w:tcW w:type="dxa" w:w="1234"/>
          </w:tcPr>
          <w:p>
            <w:r>
              <w:rPr>
                <w:b/>
                <w:sz w:val="19"/>
              </w:rPr>
              <w:t>User</w:t>
            </w:r>
          </w:p>
        </w:tc>
        <w:tc>
          <w:tcPr>
            <w:tcW w:type="dxa" w:w="1234"/>
          </w:tcPr>
          <w:p>
            <w:r>
              <w:rPr>
                <w:b/>
                <w:sz w:val="19"/>
              </w:rPr>
              <w:t>Approval</w:t>
            </w:r>
          </w:p>
        </w:tc>
        <w:tc>
          <w:tcPr>
            <w:tcW w:type="dxa" w:w="1234"/>
          </w:tcPr>
          <w:p>
            <w:r>
              <w:rPr>
                <w:b/>
                <w:sz w:val="19"/>
              </w:rPr>
              <w:t>Status</w:t>
            </w:r>
          </w:p>
        </w:tc>
        <w:tc>
          <w:tcPr>
            <w:tcW w:type="dxa" w:w="1234"/>
          </w:tcPr>
          <w:p>
            <w:r>
              <w:rPr>
                <w:b/>
                <w:sz w:val="19"/>
              </w:rPr>
              <w:t>EOS date</w:t>
            </w:r>
          </w:p>
        </w:tc>
      </w:tr>
      <w:tr>
        <w:tc>
          <w:tcPr>
            <w:tcW w:type="dxa" w:w="1234"/>
          </w:tcPr>
          <w:p>
            <w:r/>
            <w:r>
              <w:rPr>
                <w:sz w:val="19"/>
                <w:highlight w:val="yellow"/>
              </w:rPr>
              <w:t>01</w:t>
            </w:r>
          </w:p>
        </w:tc>
        <w:tc>
          <w:tcPr>
            <w:tcW w:type="dxa" w:w="1234"/>
          </w:tcPr>
          <w:p>
            <w:r/>
            <w:r>
              <w:rPr>
                <w:sz w:val="19"/>
                <w:highlight w:val="yellow"/>
              </w:rPr>
              <w:t>Reception desktop PC</w:t>
            </w:r>
          </w:p>
        </w:tc>
        <w:tc>
          <w:tcPr>
            <w:tcW w:type="dxa" w:w="1234"/>
          </w:tcPr>
          <w:p>
            <w:r/>
            <w:r>
              <w:rPr>
                <w:sz w:val="19"/>
                <w:highlight w:val="yellow"/>
              </w:rPr>
              <w:t>Hardware</w:t>
            </w:r>
          </w:p>
        </w:tc>
        <w:tc>
          <w:tcPr>
            <w:tcW w:type="dxa" w:w="1234"/>
          </w:tcPr>
          <w:p>
            <w:r/>
            <w:r>
              <w:rPr>
                <w:sz w:val="19"/>
                <w:highlight w:val="yellow"/>
              </w:rPr>
              <w:t>Priya Nair</w:t>
            </w:r>
          </w:p>
        </w:tc>
        <w:tc>
          <w:tcPr>
            <w:tcW w:type="dxa" w:w="1234"/>
          </w:tcPr>
          <w:p>
            <w:r/>
            <w:r>
              <w:rPr>
                <w:sz w:val="19"/>
                <w:highlight w:val="yellow"/>
              </w:rPr>
              <w:t>01 Jan 2026</w:t>
            </w:r>
          </w:p>
        </w:tc>
        <w:tc>
          <w:tcPr>
            <w:tcW w:type="dxa" w:w="1234"/>
          </w:tcPr>
          <w:p>
            <w:r/>
            <w:r>
              <w:rPr>
                <w:sz w:val="19"/>
                <w:highlight w:val="yellow"/>
              </w:rPr>
              <w:t>Active</w:t>
            </w:r>
          </w:p>
        </w:tc>
        <w:tc>
          <w:tcPr>
            <w:tcW w:type="dxa" w:w="1234"/>
          </w:tcPr>
          <w:p>
            <w:r/>
            <w:r>
              <w:rPr>
                <w:sz w:val="19"/>
                <w:highlight w:val="yellow"/>
              </w:rPr>
              <w:t>14 Oct 2029</w:t>
            </w:r>
          </w:p>
        </w:tc>
      </w:tr>
      <w:tr>
        <w:tc>
          <w:tcPr>
            <w:tcW w:type="dxa" w:w="1234"/>
          </w:tcPr>
          <w:p>
            <w:r/>
            <w:r>
              <w:rPr>
                <w:sz w:val="19"/>
                <w:highlight w:val="yellow"/>
              </w:rPr>
              <w:t>02</w:t>
            </w:r>
          </w:p>
        </w:tc>
        <w:tc>
          <w:tcPr>
            <w:tcW w:type="dxa" w:w="1234"/>
          </w:tcPr>
          <w:p>
            <w:r/>
            <w:r>
              <w:rPr>
                <w:sz w:val="19"/>
                <w:highlight w:val="yellow"/>
              </w:rPr>
              <w:t>Consultation room PC</w:t>
            </w:r>
          </w:p>
        </w:tc>
        <w:tc>
          <w:tcPr>
            <w:tcW w:type="dxa" w:w="1234"/>
          </w:tcPr>
          <w:p>
            <w:r/>
            <w:r>
              <w:rPr>
                <w:sz w:val="19"/>
                <w:highlight w:val="yellow"/>
              </w:rPr>
              <w:t>Hardware</w:t>
            </w:r>
          </w:p>
        </w:tc>
        <w:tc>
          <w:tcPr>
            <w:tcW w:type="dxa" w:w="1234"/>
          </w:tcPr>
          <w:p>
            <w:r/>
            <w:r>
              <w:rPr>
                <w:sz w:val="19"/>
                <w:highlight w:val="yellow"/>
              </w:rPr>
              <w:t>Dr. Tan Wei Ming</w:t>
            </w:r>
          </w:p>
        </w:tc>
        <w:tc>
          <w:tcPr>
            <w:tcW w:type="dxa" w:w="1234"/>
          </w:tcPr>
          <w:p>
            <w:r/>
            <w:r>
              <w:rPr>
                <w:sz w:val="19"/>
                <w:highlight w:val="yellow"/>
              </w:rPr>
              <w:t>01 Jan 2026</w:t>
            </w:r>
          </w:p>
        </w:tc>
        <w:tc>
          <w:tcPr>
            <w:tcW w:type="dxa" w:w="1234"/>
          </w:tcPr>
          <w:p>
            <w:r/>
            <w:r>
              <w:rPr>
                <w:sz w:val="19"/>
                <w:highlight w:val="yellow"/>
              </w:rPr>
              <w:t>Active</w:t>
            </w:r>
          </w:p>
        </w:tc>
        <w:tc>
          <w:tcPr>
            <w:tcW w:type="dxa" w:w="1234"/>
          </w:tcPr>
          <w:p>
            <w:r/>
            <w:r>
              <w:rPr>
                <w:sz w:val="19"/>
                <w:highlight w:val="yellow"/>
              </w:rPr>
              <w:t>14 Oct 2029</w:t>
            </w:r>
          </w:p>
        </w:tc>
      </w:tr>
      <w:tr>
        <w:tc>
          <w:tcPr>
            <w:tcW w:type="dxa" w:w="1234"/>
          </w:tcPr>
          <w:p>
            <w:r/>
            <w:r>
              <w:rPr>
                <w:sz w:val="19"/>
                <w:highlight w:val="yellow"/>
              </w:rPr>
              <w:t>03</w:t>
            </w:r>
          </w:p>
        </w:tc>
        <w:tc>
          <w:tcPr>
            <w:tcW w:type="dxa" w:w="1234"/>
          </w:tcPr>
          <w:p>
            <w:r/>
            <w:r>
              <w:rPr>
                <w:sz w:val="19"/>
                <w:highlight w:val="yellow"/>
              </w:rPr>
              <w:t>ClinicFlow HIMS</w:t>
            </w:r>
          </w:p>
        </w:tc>
        <w:tc>
          <w:tcPr>
            <w:tcW w:type="dxa" w:w="1234"/>
          </w:tcPr>
          <w:p>
            <w:r/>
            <w:r>
              <w:rPr>
                <w:sz w:val="19"/>
                <w:highlight w:val="yellow"/>
              </w:rPr>
              <w:t>Software</w:t>
            </w:r>
          </w:p>
        </w:tc>
        <w:tc>
          <w:tcPr>
            <w:tcW w:type="dxa" w:w="1234"/>
          </w:tcPr>
          <w:p>
            <w:r/>
            <w:r>
              <w:rPr>
                <w:sz w:val="19"/>
                <w:highlight w:val="yellow"/>
              </w:rPr>
              <w:t>All staff</w:t>
            </w:r>
          </w:p>
        </w:tc>
        <w:tc>
          <w:tcPr>
            <w:tcW w:type="dxa" w:w="1234"/>
          </w:tcPr>
          <w:p>
            <w:r/>
            <w:r>
              <w:rPr>
                <w:sz w:val="19"/>
                <w:highlight w:val="yellow"/>
              </w:rPr>
              <w:t>01 Jan 2026</w:t>
            </w:r>
          </w:p>
        </w:tc>
        <w:tc>
          <w:tcPr>
            <w:tcW w:type="dxa" w:w="1234"/>
          </w:tcPr>
          <w:p>
            <w:r/>
            <w:r>
              <w:rPr>
                <w:sz w:val="19"/>
                <w:highlight w:val="yellow"/>
              </w:rPr>
              <w:t>Active</w:t>
            </w:r>
          </w:p>
        </w:tc>
        <w:tc>
          <w:tcPr>
            <w:tcW w:type="dxa" w:w="1234"/>
          </w:tcPr>
          <w:p>
            <w:r/>
            <w:r>
              <w:rPr>
                <w:sz w:val="19"/>
                <w:highlight w:val="yellow"/>
              </w:rPr>
              <w:t>Vendor-managed</w:t>
            </w:r>
          </w:p>
        </w:tc>
      </w:tr>
      <w:tr>
        <w:tc>
          <w:tcPr>
            <w:tcW w:type="dxa" w:w="1234"/>
          </w:tcPr>
          <w:p>
            <w:r/>
            <w:r>
              <w:rPr>
                <w:sz w:val="19"/>
                <w:highlight w:val="yellow"/>
              </w:rPr>
              <w:t>04</w:t>
            </w:r>
          </w:p>
        </w:tc>
        <w:tc>
          <w:tcPr>
            <w:tcW w:type="dxa" w:w="1234"/>
          </w:tcPr>
          <w:p>
            <w:r/>
            <w:r>
              <w:rPr>
                <w:sz w:val="19"/>
                <w:highlight w:val="yellow"/>
              </w:rPr>
              <w:t>Old reception laptop</w:t>
            </w:r>
          </w:p>
        </w:tc>
        <w:tc>
          <w:tcPr>
            <w:tcW w:type="dxa" w:w="1234"/>
          </w:tcPr>
          <w:p>
            <w:r/>
            <w:r>
              <w:rPr>
                <w:sz w:val="19"/>
                <w:highlight w:val="yellow"/>
              </w:rPr>
              <w:t>Hardware</w:t>
            </w:r>
          </w:p>
        </w:tc>
        <w:tc>
          <w:tcPr>
            <w:tcW w:type="dxa" w:w="1234"/>
          </w:tcPr>
          <w:p>
            <w:r/>
            <w:r>
              <w:rPr>
                <w:sz w:val="19"/>
                <w:highlight w:val="yellow"/>
              </w:rPr>
              <w:t>—</w:t>
            </w:r>
          </w:p>
        </w:tc>
        <w:tc>
          <w:tcPr>
            <w:tcW w:type="dxa" w:w="1234"/>
          </w:tcPr>
          <w:p>
            <w:r/>
            <w:r>
              <w:rPr>
                <w:sz w:val="19"/>
                <w:highlight w:val="yellow"/>
              </w:rPr>
              <w:t>01 Dec 2018</w:t>
            </w:r>
          </w:p>
        </w:tc>
        <w:tc>
          <w:tcPr>
            <w:tcW w:type="dxa" w:w="1234"/>
          </w:tcPr>
          <w:p>
            <w:r/>
            <w:r>
              <w:rPr>
                <w:sz w:val="19"/>
                <w:highlight w:val="yellow"/>
              </w:rPr>
              <w:t>Removed</w:t>
            </w:r>
          </w:p>
        </w:tc>
        <w:tc>
          <w:tcPr>
            <w:tcW w:type="dxa" w:w="1234"/>
          </w:tcPr>
          <w:p>
            <w:r/>
            <w:r>
              <w:rPr>
                <w:sz w:val="19"/>
                <w:highlight w:val="yellow"/>
              </w:rPr>
              <w:t>01 Jun 2018</w:t>
            </w:r>
          </w:p>
        </w:tc>
      </w:tr>
    </w:tbl>
    <w:p>
      <w:pPr>
        <w:spacing w:after="80"/>
      </w:pPr>
    </w:p>
    <w:p>
      <w:r>
        <w:rPr>
          <w:i/>
          <w:color w:val="6B7280"/>
          <w:sz w:val="19"/>
        </w:rPr>
        <w:t>Walk the clinic once and list every PC, laptop, tablet, printer, router, external drive and piece of software — you cannot protect what you have forgotten about.</w:t>
      </w:r>
    </w:p>
    <w:p>
      <w:r>
        <w:br w:type="page"/>
      </w:r>
    </w:p>
    <w:p>
      <w:pPr>
        <w:pStyle w:val="Heading1"/>
      </w:pPr>
      <w:r>
        <w:t>Appendix C: Continued-Use Approval for Unsupported Equipment</w:t>
      </w:r>
    </w:p>
    <w:p>
      <w:pPr>
        <w:pStyle w:val="IntenseQuote"/>
      </w:pPr>
      <w:r>
        <w:rPr>
          <w:b w:val="0"/>
          <w:i/>
        </w:rPr>
        <w:t>Worked example. The people, dates and details below are illustrative, not your clinic's records. Replace them with your own before use.</w:t>
      </w:r>
    </w:p>
    <w:p>
      <w:r>
        <w:rPr>
          <w:i/>
          <w:color w:val="9CA3AF"/>
          <w:sz w:val="19"/>
        </w:rPr>
        <w:t>Source: CS/DS Essentials clause A.18; MOH Implementation Guide v2.0, Annex B4A, p.72. Use one copy of this form per unsupported asset.</w:t>
      </w:r>
    </w:p>
    <w:p>
      <w:r>
        <w:rPr>
          <w:b w:val="0"/>
          <w:i w:val="0"/>
        </w:rPr>
        <w:t xml:space="preserve">A. Equipment name: </w:t>
      </w:r>
      <w:r>
        <w:rPr>
          <w:b w:val="0"/>
          <w:i w:val="0"/>
          <w:highlight w:val="yellow"/>
        </w:rPr>
        <w:t>Old reception laptop</w:t>
      </w:r>
    </w:p>
    <w:p>
      <w:r>
        <w:rPr>
          <w:b w:val="0"/>
          <w:i w:val="0"/>
        </w:rPr>
        <w:t xml:space="preserve">B. Location: </w:t>
      </w:r>
      <w:r>
        <w:rPr>
          <w:b w:val="0"/>
          <w:i w:val="0"/>
          <w:highlight w:val="yellow"/>
        </w:rPr>
        <w:t>Reception counter</w:t>
      </w:r>
    </w:p>
    <w:p>
      <w:r>
        <w:rPr>
          <w:b w:val="0"/>
          <w:i w:val="0"/>
        </w:rPr>
        <w:t xml:space="preserve">C. User: </w:t>
      </w:r>
      <w:r>
        <w:rPr>
          <w:b w:val="0"/>
          <w:i w:val="0"/>
          <w:highlight w:val="yellow"/>
        </w:rPr>
        <w:t>Priya Nair</w:t>
      </w:r>
    </w:p>
    <w:p>
      <w:r>
        <w:rPr>
          <w:b w:val="0"/>
          <w:i w:val="0"/>
        </w:rPr>
        <w:t xml:space="preserve">D. End-of-Support date: </w:t>
      </w:r>
      <w:r>
        <w:rPr>
          <w:b w:val="0"/>
          <w:i w:val="0"/>
          <w:highlight w:val="yellow"/>
        </w:rPr>
        <w:t>01 Jun 2018</w:t>
      </w:r>
    </w:p>
    <w:p>
      <w:r>
        <w:rPr>
          <w:b w:val="0"/>
          <w:i w:val="0"/>
        </w:rPr>
        <w:t xml:space="preserve">E. Reason: </w:t>
      </w:r>
      <w:r>
        <w:rPr>
          <w:b w:val="0"/>
          <w:i w:val="0"/>
          <w:highlight w:val="yellow"/>
        </w:rPr>
        <w:t>No replacement yet — budgeted for Q1 2027</w:t>
      </w:r>
    </w:p>
    <w:p>
      <w:r>
        <w:rPr>
          <w:b w:val="0"/>
          <w:i w:val="0"/>
        </w:rPr>
        <w:t xml:space="preserve">F. Planned replacement date: </w:t>
      </w:r>
      <w:r>
        <w:rPr>
          <w:b w:val="0"/>
          <w:i w:val="0"/>
          <w:highlight w:val="yellow"/>
        </w:rPr>
        <w:t>March 2027</w:t>
      </w:r>
    </w:p>
    <w:p>
      <w:pPr>
        <w:pStyle w:val="Heading3"/>
      </w:pPr>
      <w:r>
        <w:t>G. Risks (tick all that apply)</w:t>
      </w:r>
    </w:p>
    <w:p>
      <w:r>
        <w:t>☐  No security updates</w:t>
      </w:r>
    </w:p>
    <w:p>
      <w:r>
        <w:t>☐  Higher risk of virus or malware infection</w:t>
      </w:r>
    </w:p>
    <w:p>
      <w:r>
        <w:t>☐  Patient data may be exposed or leaked</w:t>
      </w:r>
    </w:p>
    <w:p>
      <w:r>
        <w:t>☐  May stop working suddenly</w:t>
      </w:r>
    </w:p>
    <w:p>
      <w:r>
        <w:t>☐  Slow performance affecting clinic operations</w:t>
      </w:r>
    </w:p>
    <w:p>
      <w:r>
        <w:t>☐  No technical support if problems occur</w:t>
      </w:r>
    </w:p>
    <w:p>
      <w:r>
        <w:t>☐  Cannot connect properly to newer systems</w:t>
      </w:r>
    </w:p>
    <w:p>
      <w:r>
        <w:t>☐  Data may be lost if the system fails</w:t>
      </w:r>
    </w:p>
    <w:p>
      <w:r>
        <w:t>☐  Backups may not work properly</w:t>
      </w:r>
    </w:p>
    <w:p>
      <w:pPr>
        <w:pStyle w:val="Heading3"/>
      </w:pPr>
      <w:r>
        <w:t>H. Safety measures (tick all that apply)</w:t>
      </w:r>
    </w:p>
    <w:p>
      <w:r>
        <w:t>☐  Only authorised staff use this</w:t>
      </w:r>
    </w:p>
    <w:p>
      <w:r>
        <w:t>☐  Not connected to public internet</w:t>
      </w:r>
    </w:p>
    <w:p>
      <w:r>
        <w:t>☐  Important data is backed up</w:t>
      </w:r>
    </w:p>
    <w:p>
      <w:pPr>
        <w:pStyle w:val="Heading3"/>
      </w:pPr>
      <w:r>
        <w:t>Approval</w:t>
      </w:r>
    </w:p>
    <w:p>
      <w:r>
        <w:rPr>
          <w:b w:val="0"/>
          <w:i w:val="0"/>
        </w:rPr>
        <w:t xml:space="preserve">Decision: </w:t>
      </w:r>
      <w:r>
        <w:rPr>
          <w:b w:val="0"/>
          <w:i w:val="0"/>
          <w:highlight w:val="yellow"/>
        </w:rPr>
        <w:t>Approved to continue using, subject to replacement by March 2027</w:t>
      </w:r>
    </w:p>
    <w:p>
      <w:r>
        <w:rPr>
          <w:b w:val="0"/>
          <w:i w:val="0"/>
        </w:rPr>
        <w:t>Approver name: Dr. Tan Wei Ming (clinic owner)   Signature: __________   Date: 18 Aug 2026</w:t>
      </w:r>
    </w:p>
    <w:p>
      <w:r>
        <w:br w:type="page"/>
      </w:r>
    </w:p>
    <w:p>
      <w:pPr>
        <w:pStyle w:val="Heading1"/>
      </w:pPr>
      <w:r>
        <w:t>Appendix D: Access Request, Approval and Revocation Templates</w:t>
      </w:r>
    </w:p>
    <w:p>
      <w:pPr>
        <w:pStyle w:val="IntenseQuote"/>
      </w:pPr>
      <w:r>
        <w:rPr>
          <w:b w:val="0"/>
          <w:i/>
        </w:rPr>
        <w:t>Worked example. The people, dates and details below are illustrative, not your clinic's records. Replace them with your own before use.</w:t>
      </w:r>
    </w:p>
    <w:p>
      <w:r>
        <w:rPr>
          <w:i/>
          <w:color w:val="9CA3AF"/>
          <w:sz w:val="19"/>
        </w:rPr>
        <w:t>Source: CS/DS Essentials clauses A.5.1 and A.6.1; MOH Implementation Guide v2.0, Annex B2A, pp.64–66.</w:t>
      </w:r>
    </w:p>
    <w:p>
      <w:pPr>
        <w:pStyle w:val="Heading2"/>
      </w:pPr>
      <w:r>
        <w:t>Sample email to request access</w:t>
      </w:r>
    </w:p>
    <w:p>
      <w:r>
        <w:rPr>
          <w:i/>
          <w:color w:val="6B7280"/>
          <w:sz w:val="19"/>
        </w:rPr>
        <w:t>Subject: Access Request for [personnel name]</w:t>
      </w:r>
    </w:p>
    <w:p>
      <w:r>
        <w:rPr>
          <w:b w:val="0"/>
          <w:i w:val="0"/>
        </w:rPr>
        <w:t>Dear Dr. Tan Wei Ming, I would like to request access to the following: Name: Priya Nair. System / folder: patient billing folder. Access level: View only. Reason: needed to process invoices. From date: 18 Aug 2026. To date: ongoing. Thank you, Priya Nair.</w:t>
      </w:r>
    </w:p>
    <w:p>
      <w:pPr>
        <w:pStyle w:val="Heading2"/>
      </w:pPr>
      <w:r>
        <w:t>Approving access — checklist, not an email</w:t>
      </w:r>
    </w:p>
    <w:p>
      <w:r>
        <w:t>☐  Access is granted only to the specific system requested</w:t>
      </w:r>
    </w:p>
    <w:p>
      <w:r>
        <w:t>☐  Access matches what the role actually needs</w:t>
      </w:r>
    </w:p>
    <w:p>
      <w:r>
        <w:t>☐  The access is recorded in the log below</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sz w:val="19"/>
              </w:rPr>
              <w:t>Name</w:t>
            </w:r>
          </w:p>
        </w:tc>
        <w:tc>
          <w:tcPr>
            <w:tcW w:type="dxa" w:w="1440"/>
          </w:tcPr>
          <w:p>
            <w:r>
              <w:rPr>
                <w:b/>
                <w:sz w:val="19"/>
              </w:rPr>
              <w:t>System</w:t>
            </w:r>
          </w:p>
        </w:tc>
        <w:tc>
          <w:tcPr>
            <w:tcW w:type="dxa" w:w="1440"/>
          </w:tcPr>
          <w:p>
            <w:r>
              <w:rPr>
                <w:b/>
                <w:sz w:val="19"/>
              </w:rPr>
              <w:t>Department</w:t>
            </w:r>
          </w:p>
        </w:tc>
        <w:tc>
          <w:tcPr>
            <w:tcW w:type="dxa" w:w="1440"/>
          </w:tcPr>
          <w:p>
            <w:r>
              <w:rPr>
                <w:b/>
                <w:sz w:val="19"/>
              </w:rPr>
              <w:t>Role</w:t>
            </w:r>
          </w:p>
        </w:tc>
        <w:tc>
          <w:tcPr>
            <w:tcW w:type="dxa" w:w="1440"/>
          </w:tcPr>
          <w:p>
            <w:r>
              <w:rPr>
                <w:b/>
                <w:sz w:val="19"/>
              </w:rPr>
              <w:t>From</w:t>
            </w:r>
          </w:p>
        </w:tc>
        <w:tc>
          <w:tcPr>
            <w:tcW w:type="dxa" w:w="1440"/>
          </w:tcPr>
          <w:p>
            <w:r>
              <w:rPr>
                <w:b/>
                <w:sz w:val="19"/>
              </w:rPr>
              <w:t>To</w:t>
            </w:r>
          </w:p>
        </w:tc>
      </w:tr>
      <w:tr>
        <w:tc>
          <w:tcPr>
            <w:tcW w:type="dxa" w:w="1440"/>
          </w:tcPr>
          <w:p>
            <w:r/>
            <w:r>
              <w:rPr>
                <w:sz w:val="19"/>
                <w:highlight w:val="yellow"/>
              </w:rPr>
              <w:t>Priya Nair</w:t>
            </w:r>
          </w:p>
        </w:tc>
        <w:tc>
          <w:tcPr>
            <w:tcW w:type="dxa" w:w="1440"/>
          </w:tcPr>
          <w:p>
            <w:r/>
            <w:r>
              <w:rPr>
                <w:sz w:val="19"/>
                <w:highlight w:val="yellow"/>
              </w:rPr>
              <w:t>Patient billing folder</w:t>
            </w:r>
          </w:p>
        </w:tc>
        <w:tc>
          <w:tcPr>
            <w:tcW w:type="dxa" w:w="1440"/>
          </w:tcPr>
          <w:p>
            <w:r/>
            <w:r>
              <w:rPr>
                <w:sz w:val="19"/>
                <w:highlight w:val="yellow"/>
              </w:rPr>
              <w:t>Clinic operations</w:t>
            </w:r>
          </w:p>
        </w:tc>
        <w:tc>
          <w:tcPr>
            <w:tcW w:type="dxa" w:w="1440"/>
          </w:tcPr>
          <w:p>
            <w:r/>
            <w:r>
              <w:rPr>
                <w:sz w:val="19"/>
                <w:highlight w:val="yellow"/>
              </w:rPr>
              <w:t>View only</w:t>
            </w:r>
          </w:p>
        </w:tc>
        <w:tc>
          <w:tcPr>
            <w:tcW w:type="dxa" w:w="1440"/>
          </w:tcPr>
          <w:p>
            <w:r/>
            <w:r>
              <w:rPr>
                <w:sz w:val="19"/>
                <w:highlight w:val="yellow"/>
              </w:rPr>
              <w:t>18 Aug 2026</w:t>
            </w:r>
          </w:p>
        </w:tc>
        <w:tc>
          <w:tcPr>
            <w:tcW w:type="dxa" w:w="1440"/>
          </w:tcPr>
          <w:p>
            <w:r/>
            <w:r>
              <w:rPr>
                <w:sz w:val="19"/>
                <w:highlight w:val="yellow"/>
              </w:rPr>
              <w:t>NA</w:t>
            </w:r>
          </w:p>
        </w:tc>
      </w:tr>
    </w:tbl>
    <w:p>
      <w:pPr>
        <w:spacing w:after="80"/>
      </w:pPr>
    </w:p>
    <w:p>
      <w:pPr>
        <w:pStyle w:val="Heading2"/>
      </w:pPr>
      <w:r>
        <w:t>Sample email to revoke access</w:t>
      </w:r>
    </w:p>
    <w:p>
      <w:r>
        <w:rPr>
          <w:i/>
          <w:color w:val="6B7280"/>
          <w:sz w:val="19"/>
        </w:rPr>
        <w:t>Subject: Access Revocation [personnel name]</w:t>
      </w:r>
    </w:p>
    <w:p>
      <w:r>
        <w:rPr>
          <w:b w:val="0"/>
          <w:i w:val="0"/>
        </w:rPr>
        <w:t>Dear Dr. Tan Wei Ming, please revoke system access for the following: Name: [departing staff name]. System / folder: [system to revoke]. Last access date: [date]. Thank you, [requestor’s name].</w:t>
      </w:r>
    </w:p>
    <w:p>
      <w:r>
        <w:rPr>
          <w:i/>
          <w:color w:val="6B7280"/>
          <w:sz w:val="19"/>
        </w:rPr>
        <w:t>Ready-to-send versions of the request and revoke emails, with the subject and body pre-filled, are one click away in the companion deck, item 2c.</w:t>
      </w:r>
    </w:p>
    <w:p>
      <w:r>
        <w:br w:type="page"/>
      </w:r>
    </w:p>
    <w:p>
      <w:pPr>
        <w:pStyle w:val="Heading1"/>
      </w:pPr>
      <w:r>
        <w:t>Appendix E: New Equipment or Software Request Form</w:t>
      </w:r>
    </w:p>
    <w:p>
      <w:pPr>
        <w:pStyle w:val="IntenseQuote"/>
      </w:pPr>
      <w:r>
        <w:rPr>
          <w:b w:val="0"/>
          <w:i/>
        </w:rPr>
        <w:t>Worked example. The people, dates and details below are illustrative, not your clinic's records. Replace them with your own before use.</w:t>
      </w:r>
    </w:p>
    <w:p>
      <w:r>
        <w:rPr>
          <w:i/>
          <w:color w:val="9CA3AF"/>
          <w:sz w:val="19"/>
        </w:rPr>
        <w:t>Source: CS/DS Essentials clause A.15; MOH Implementation Guide v2.0, Annex B3B, p.70.</w:t>
      </w:r>
    </w:p>
    <w:p>
      <w:r>
        <w:rPr>
          <w:b w:val="0"/>
          <w:i w:val="0"/>
        </w:rPr>
        <w:t xml:space="preserve">A. Item name: </w:t>
      </w:r>
      <w:r>
        <w:rPr>
          <w:b w:val="0"/>
          <w:i w:val="0"/>
          <w:highlight w:val="yellow"/>
        </w:rPr>
        <w:t>New reception PC</w:t>
      </w:r>
    </w:p>
    <w:p>
      <w:r>
        <w:rPr>
          <w:b w:val="0"/>
          <w:i w:val="0"/>
        </w:rPr>
        <w:t xml:space="preserve">B. Type: </w:t>
      </w:r>
      <w:r>
        <w:rPr>
          <w:b w:val="0"/>
          <w:i w:val="0"/>
          <w:highlight w:val="yellow"/>
        </w:rPr>
        <w:t>Computer</w:t>
      </w:r>
      <w:r>
        <w:rPr>
          <w:b w:val="0"/>
          <w:i w:val="0"/>
        </w:rPr>
        <w:t xml:space="preserve">  (tick one: Computer / Software / Medical Device / Other)</w:t>
      </w:r>
    </w:p>
    <w:p>
      <w:r>
        <w:rPr>
          <w:b w:val="0"/>
          <w:i w:val="0"/>
        </w:rPr>
        <w:t xml:space="preserve">C. Requested by: </w:t>
      </w:r>
      <w:r>
        <w:rPr>
          <w:b w:val="0"/>
          <w:i w:val="0"/>
          <w:highlight w:val="yellow"/>
        </w:rPr>
        <w:t>Priya Nair</w:t>
      </w:r>
    </w:p>
    <w:p>
      <w:r>
        <w:rPr>
          <w:b w:val="0"/>
          <w:i w:val="0"/>
        </w:rPr>
        <w:t xml:space="preserve">D. Purpose / business reason: </w:t>
      </w:r>
      <w:r>
        <w:rPr>
          <w:b w:val="0"/>
          <w:i w:val="0"/>
          <w:highlight w:val="yellow"/>
        </w:rPr>
        <w:t>Replacing the unit at Appendix C ahead of its planned March 2027 retirement</w:t>
      </w:r>
    </w:p>
    <w:p>
      <w:r>
        <w:rPr>
          <w:b w:val="0"/>
          <w:i w:val="0"/>
        </w:rPr>
        <w:t>E. Approved by: Dr. Tan Wei Ming</w:t>
      </w:r>
    </w:p>
    <w:p>
      <w:r>
        <w:rPr>
          <w:b w:val="0"/>
          <w:i w:val="0"/>
        </w:rPr>
        <w:t xml:space="preserve">F. Signature: __________   G. Date: </w:t>
      </w:r>
      <w:r>
        <w:rPr>
          <w:b w:val="0"/>
          <w:i w:val="0"/>
          <w:highlight w:val="yellow"/>
        </w:rPr>
        <w:t>18 Aug 2026</w:t>
      </w:r>
    </w:p>
    <w:p>
      <w:r>
        <w:br w:type="page"/>
      </w:r>
    </w:p>
    <w:p>
      <w:pPr>
        <w:pStyle w:val="Heading1"/>
      </w:pPr>
      <w:r>
        <w:t>Appendix F: Third-Party Access Request Form</w:t>
      </w:r>
    </w:p>
    <w:p>
      <w:pPr>
        <w:pStyle w:val="IntenseQuote"/>
      </w:pPr>
      <w:r>
        <w:rPr>
          <w:b w:val="0"/>
          <w:i/>
        </w:rPr>
        <w:t>Worked example. The people, dates and details below are illustrative, not your clinic's records. Replace them with your own before use.</w:t>
      </w:r>
    </w:p>
    <w:p>
      <w:r>
        <w:rPr>
          <w:i/>
          <w:color w:val="9CA3AF"/>
          <w:sz w:val="19"/>
        </w:rPr>
        <w:t>Source: MOH Implementation Guide v2.0, Annex A, clause A.4, p.63. Have any vendor or contractor fill this in before you grant them a login — and sign the NDA in Section 1 first.</w:t>
      </w:r>
    </w:p>
    <w:p>
      <w:r>
        <w:rPr>
          <w:b w:val="0"/>
          <w:i w:val="0"/>
        </w:rPr>
        <w:t xml:space="preserve">A. Contractor name: </w:t>
      </w:r>
      <w:r>
        <w:rPr>
          <w:b w:val="0"/>
          <w:i w:val="0"/>
          <w:highlight w:val="yellow"/>
        </w:rPr>
        <w:t>ClinicFlow Pte Ltd</w:t>
      </w:r>
    </w:p>
    <w:p>
      <w:r>
        <w:rPr>
          <w:b w:val="0"/>
          <w:i w:val="0"/>
        </w:rPr>
        <w:t xml:space="preserve">B. Contact details: </w:t>
      </w:r>
      <w:r>
        <w:rPr>
          <w:b w:val="0"/>
          <w:i w:val="0"/>
          <w:highlight w:val="yellow"/>
        </w:rPr>
        <w:t>support@clinicflow.example, 6123 4567</w:t>
      </w:r>
    </w:p>
    <w:p>
      <w:r>
        <w:rPr>
          <w:b w:val="0"/>
          <w:i w:val="0"/>
        </w:rPr>
        <w:t xml:space="preserve">C. What do they need access to? </w:t>
      </w:r>
      <w:r>
        <w:rPr>
          <w:b w:val="0"/>
          <w:i w:val="0"/>
          <w:highlight w:val="yellow"/>
        </w:rPr>
        <w:t>ClinicFlow HIMS admin console, for scheduled maintenance</w:t>
      </w:r>
    </w:p>
    <w:p>
      <w:r>
        <w:rPr>
          <w:b w:val="0"/>
          <w:i w:val="0"/>
        </w:rPr>
        <w:t xml:space="preserve">D. Why do they need it? </w:t>
      </w:r>
      <w:r>
        <w:rPr>
          <w:b w:val="0"/>
          <w:i w:val="0"/>
          <w:highlight w:val="yellow"/>
        </w:rPr>
        <w:t>Quarterly system update and backup verification</w:t>
      </w:r>
    </w:p>
    <w:p>
      <w:r>
        <w:rPr>
          <w:b w:val="0"/>
          <w:i w:val="0"/>
        </w:rPr>
        <w:t xml:space="preserve">E. Start date: </w:t>
      </w:r>
      <w:r>
        <w:rPr>
          <w:b w:val="0"/>
          <w:i w:val="0"/>
          <w:highlight w:val="yellow"/>
        </w:rPr>
        <w:t>18 Aug 2026</w:t>
      </w:r>
      <w:r>
        <w:rPr>
          <w:b w:val="0"/>
          <w:i w:val="0"/>
        </w:rPr>
        <w:t xml:space="preserve">   F. End date: </w:t>
      </w:r>
      <w:r>
        <w:rPr>
          <w:b w:val="0"/>
          <w:i w:val="0"/>
          <w:highlight w:val="yellow"/>
        </w:rPr>
        <w:t>18 Aug 2027</w:t>
      </w:r>
    </w:p>
    <w:p>
      <w:pPr>
        <w:pStyle w:val="Heading3"/>
      </w:pPr>
      <w:r>
        <w:t>Tick all that apply</w:t>
      </w:r>
    </w:p>
    <w:p>
      <w:r>
        <w:t>☐  General data only</w:t>
      </w:r>
    </w:p>
    <w:p>
      <w:r>
        <w:t>☐  Patient health information required</w:t>
      </w:r>
    </w:p>
    <w:p>
      <w:r>
        <w:t>☐  IT equipment required — please specify: None</w:t>
      </w:r>
    </w:p>
    <w:p>
      <w:r>
        <w:rPr>
          <w:b w:val="0"/>
          <w:i w:val="0"/>
        </w:rPr>
        <w:t xml:space="preserve">Clinic name: </w:t>
      </w:r>
      <w:r>
        <w:rPr>
          <w:b w:val="0"/>
          <w:i w:val="0"/>
          <w:highlight w:val="yellow"/>
        </w:rPr>
        <w:t>Sunrise Family Clinic</w:t>
      </w:r>
    </w:p>
    <w:p>
      <w:r>
        <w:rPr>
          <w:b w:val="0"/>
          <w:i w:val="0"/>
        </w:rPr>
        <w:t xml:space="preserve">Authorised representative signature: __________   Date: </w:t>
      </w:r>
      <w:r>
        <w:rPr>
          <w:b w:val="0"/>
          <w:i w:val="0"/>
          <w:highlight w:val="yellow"/>
        </w:rPr>
        <w:t>18 Aug 2026</w:t>
      </w:r>
    </w:p>
    <w:p>
      <w:r>
        <w:br w:type="page"/>
      </w:r>
    </w:p>
    <w:p>
      <w:pPr>
        <w:pStyle w:val="Heading1"/>
      </w:pPr>
      <w:r>
        <w:t>Appendix G: Backup Plan</w:t>
      </w:r>
    </w:p>
    <w:p>
      <w:pPr>
        <w:pStyle w:val="IntenseQuote"/>
      </w:pPr>
      <w:r>
        <w:rPr>
          <w:b w:val="0"/>
          <w:i/>
        </w:rPr>
        <w:t>Worked example. The people, dates and details below are illustrative, not your clinic's records. Replace them with your own before use.</w:t>
      </w:r>
    </w:p>
    <w:p>
      <w:r>
        <w:rPr>
          <w:i/>
          <w:color w:val="9CA3AF"/>
          <w:sz w:val="19"/>
        </w:rPr>
        <w:t>Source: CS/DS Essentials clauses A.13–A.14; MOH Implementation Guide v2.0, Annex A8-4, p.34, and Annex B3, B3A, pp.67–69.</w:t>
      </w:r>
    </w:p>
    <w:p>
      <w:pPr>
        <w:pStyle w:val="Heading2"/>
      </w:pPr>
      <w:r>
        <w:t>Cloud backup responsibility (if you use a cloud provider beyond your CMS)</w:t>
      </w:r>
    </w:p>
    <w:p>
      <w:r>
        <w:rPr>
          <w:b w:val="0"/>
          <w:i w:val="0"/>
        </w:rPr>
        <w:t xml:space="preserve">A. Service name: </w:t>
      </w:r>
      <w:r>
        <w:rPr>
          <w:b w:val="0"/>
          <w:i w:val="0"/>
          <w:highlight w:val="yellow"/>
        </w:rPr>
        <w:t>Not applicable — see alternative backup plan below</w:t>
      </w:r>
    </w:p>
    <w:p>
      <w:r>
        <w:rPr>
          <w:b w:val="0"/>
          <w:i w:val="0"/>
        </w:rPr>
        <w:t xml:space="preserve">B. Provider: </w:t>
      </w:r>
      <w:r>
        <w:rPr>
          <w:b w:val="0"/>
          <w:i w:val="0"/>
          <w:highlight w:val="yellow"/>
        </w:rPr>
        <w:t>—</w:t>
      </w:r>
    </w:p>
    <w:p>
      <w:pPr>
        <w:pStyle w:val="Heading3"/>
      </w:pPr>
      <w:r>
        <w:t>C. Responsibilities of the cloud service provider</w:t>
      </w:r>
    </w:p>
    <w:p>
      <w:r>
        <w:t>☐  Infrastructure backup (servers, hardware)</w:t>
      </w:r>
    </w:p>
    <w:p>
      <w:r>
        <w:t>☐  Platform availability</w:t>
      </w:r>
    </w:p>
    <w:p>
      <w:r>
        <w:t>☐  Disaster recovery for their systems</w:t>
      </w:r>
    </w:p>
    <w:p>
      <w:r>
        <w:t>☐  Other: —</w:t>
      </w:r>
    </w:p>
    <w:p>
      <w:pPr>
        <w:pStyle w:val="Heading3"/>
      </w:pPr>
      <w:r>
        <w:t>D. Responsibilities of our clinic</w:t>
      </w:r>
    </w:p>
    <w:p>
      <w:r>
        <w:t>☐  Our data backup and recovery</w:t>
      </w:r>
    </w:p>
    <w:p>
      <w:r>
        <w:t>☐  Our user account management</w:t>
      </w:r>
    </w:p>
    <w:p>
      <w:r>
        <w:t>☐  Compliance with regulations</w:t>
      </w:r>
    </w:p>
    <w:p>
      <w:r>
        <w:t>☐  Other: —</w:t>
      </w:r>
    </w:p>
    <w:p>
      <w:r>
        <w:rPr>
          <w:b w:val="0"/>
          <w:i w:val="0"/>
        </w:rPr>
        <w:t>Documented by: Dr. Tan Wei Ming   Date: 18 Aug 2026</w:t>
      </w:r>
    </w:p>
    <w:p>
      <w:pPr>
        <w:pStyle w:val="Heading2"/>
      </w:pPr>
      <w:r>
        <w:t>Alternative backup plan (external hard drive)</w:t>
      </w:r>
    </w:p>
    <w:p>
      <w:r>
        <w:rPr>
          <w:b w:val="0"/>
          <w:i w:val="0"/>
        </w:rPr>
        <w:t xml:space="preserve">Primary backup: </w:t>
      </w:r>
      <w:r>
        <w:rPr>
          <w:b w:val="0"/>
          <w:i w:val="0"/>
          <w:highlight w:val="yellow"/>
        </w:rPr>
        <w:t>Not used — ClinicFlow HIMS backs up patient records under its own certification</w:t>
      </w:r>
    </w:p>
    <w:p>
      <w:r>
        <w:rPr>
          <w:b w:val="0"/>
          <w:i w:val="0"/>
        </w:rPr>
        <w:t xml:space="preserve">Secondary backup: </w:t>
      </w:r>
      <w:r>
        <w:rPr>
          <w:b w:val="0"/>
          <w:i w:val="0"/>
          <w:highlight w:val="yellow"/>
        </w:rPr>
        <w:t>2TB external hard drive, unplugged and stored in the locked filing cabinet when not in use</w:t>
      </w:r>
      <w:r>
        <w:rPr>
          <w:b w:val="0"/>
          <w:i w:val="0"/>
        </w:rPr>
        <w:t xml:space="preserve">. Frequency: </w:t>
      </w:r>
      <w:r>
        <w:rPr>
          <w:b w:val="0"/>
          <w:i w:val="0"/>
          <w:highlight w:val="yellow"/>
        </w:rPr>
        <w:t>Weekly, every Friday after clinic hours</w:t>
      </w:r>
      <w:r>
        <w:rPr>
          <w:b w:val="0"/>
          <w:i w:val="0"/>
        </w:rPr>
        <w:t xml:space="preserve">. Location: </w:t>
      </w:r>
      <w:r>
        <w:rPr>
          <w:b w:val="0"/>
          <w:i w:val="0"/>
          <w:highlight w:val="yellow"/>
        </w:rPr>
        <w:t>Locked filing cabinet, reception</w:t>
      </w:r>
      <w:r>
        <w:rPr>
          <w:b w:val="0"/>
          <w:i w:val="0"/>
        </w:rPr>
        <w:t>.</w:t>
      </w:r>
    </w:p>
    <w:p>
      <w:r>
        <w:rPr>
          <w:b w:val="0"/>
          <w:i w:val="0"/>
        </w:rPr>
        <w:t xml:space="preserve">Restore tested on: </w:t>
      </w:r>
      <w:r>
        <w:rPr>
          <w:b w:val="0"/>
          <w:i w:val="0"/>
          <w:highlight w:val="yellow"/>
        </w:rPr>
        <w:t>18 Aug 2026</w:t>
      </w:r>
      <w:r>
        <w:rPr>
          <w:b w:val="0"/>
          <w:i w:val="0"/>
        </w:rPr>
        <w:t xml:space="preserve"> — file restored and confirmed opening correctly.</w:t>
      </w:r>
    </w:p>
    <w:p>
      <w:r>
        <w:rPr>
          <w:b w:val="0"/>
          <w:i w:val="0"/>
        </w:rPr>
        <w:t>Documented by: Dr. Tan Wei Ming   Date: 18 Aug 2026</w:t>
      </w:r>
    </w:p>
    <w:p>
      <w:r>
        <w:br w:type="page"/>
      </w:r>
    </w:p>
    <w:p>
      <w:pPr>
        <w:pStyle w:val="Heading1"/>
      </w:pPr>
      <w:r>
        <w:t>Appendix H: Disposal Record</w:t>
      </w:r>
    </w:p>
    <w:p>
      <w:r>
        <w:rPr>
          <w:i/>
          <w:color w:val="9CA3AF"/>
          <w:sz w:val="19"/>
        </w:rPr>
        <w:t>Source: CS/DS Essentials clause C.9; MOH Implementation Guide v2.0, Annex B15, p.46.</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sz w:val="19"/>
              </w:rPr>
              <w:t>Date</w:t>
            </w:r>
          </w:p>
        </w:tc>
        <w:tc>
          <w:tcPr>
            <w:tcW w:type="dxa" w:w="1728"/>
          </w:tcPr>
          <w:p>
            <w:r>
              <w:rPr>
                <w:b/>
                <w:sz w:val="19"/>
              </w:rPr>
              <w:t>What was disposed</w:t>
            </w:r>
          </w:p>
        </w:tc>
        <w:tc>
          <w:tcPr>
            <w:tcW w:type="dxa" w:w="1728"/>
          </w:tcPr>
          <w:p>
            <w:r>
              <w:rPr>
                <w:b/>
                <w:sz w:val="19"/>
              </w:rPr>
              <w:t>Method</w:t>
            </w:r>
          </w:p>
        </w:tc>
        <w:tc>
          <w:tcPr>
            <w:tcW w:type="dxa" w:w="1728"/>
          </w:tcPr>
          <w:p>
            <w:r>
              <w:rPr>
                <w:b/>
                <w:sz w:val="19"/>
              </w:rPr>
              <w:t>Done by</w:t>
            </w:r>
          </w:p>
        </w:tc>
        <w:tc>
          <w:tcPr>
            <w:tcW w:type="dxa" w:w="1728"/>
          </w:tcPr>
          <w:p>
            <w:r>
              <w:rPr>
                <w:b/>
                <w:sz w:val="19"/>
              </w:rPr>
              <w:t>Certificate of destruction</w:t>
            </w:r>
          </w:p>
        </w:tc>
      </w:tr>
      <w:tr>
        <w:tc>
          <w:tcPr>
            <w:tcW w:type="dxa" w:w="1728"/>
          </w:tcPr>
          <w:p>
            <w:r/>
            <w:r>
              <w:rPr>
                <w:sz w:val="19"/>
                <w:highlight w:val="yellow"/>
              </w:rPr>
              <w:t>18 Aug 2026</w:t>
            </w:r>
          </w:p>
        </w:tc>
        <w:tc>
          <w:tcPr>
            <w:tcW w:type="dxa" w:w="1728"/>
          </w:tcPr>
          <w:p>
            <w:r/>
            <w:r>
              <w:rPr>
                <w:sz w:val="19"/>
                <w:highlight w:val="yellow"/>
              </w:rPr>
              <w:t>Old reception laptop, Asset 04</w:t>
            </w:r>
          </w:p>
        </w:tc>
        <w:tc>
          <w:tcPr>
            <w:tcW w:type="dxa" w:w="1728"/>
          </w:tcPr>
          <w:p>
            <w:r/>
            <w:r>
              <w:rPr>
                <w:sz w:val="19"/>
                <w:highlight w:val="yellow"/>
              </w:rPr>
              <w:t>Full reset with data-wipe, then physical drive removal</w:t>
            </w:r>
          </w:p>
        </w:tc>
        <w:tc>
          <w:tcPr>
            <w:tcW w:type="dxa" w:w="1728"/>
          </w:tcPr>
          <w:p>
            <w:r/>
            <w:r>
              <w:rPr>
                <w:sz w:val="19"/>
                <w:highlight w:val="yellow"/>
              </w:rPr>
              <w:t>Dr. Tan Wei Ming</w:t>
            </w:r>
          </w:p>
        </w:tc>
        <w:tc>
          <w:tcPr>
            <w:tcW w:type="dxa" w:w="1728"/>
          </w:tcPr>
          <w:p>
            <w:r/>
            <w:r>
              <w:rPr>
                <w:sz w:val="19"/>
                <w:highlight w:val="yellow"/>
              </w:rPr>
              <w:t>Not applicable — done in-house</w:t>
            </w:r>
          </w:p>
        </w:tc>
      </w:tr>
    </w:tbl>
    <w:p>
      <w:pPr>
        <w:spacing w:after="80"/>
      </w:pPr>
    </w:p>
    <w:p>
      <w:r>
        <w:rPr>
          <w:i/>
          <w:color w:val="6B7280"/>
          <w:sz w:val="19"/>
        </w:rPr>
        <w:t>If you use a professional shredding or disposal service instead, get a certificate of destruction from them and keep it with this record.</w:t>
      </w:r>
    </w:p>
    <w:p>
      <w:r>
        <w:br w:type="page"/>
      </w:r>
    </w:p>
    <w:p>
      <w:pPr>
        <w:pStyle w:val="Heading1"/>
      </w:pPr>
      <w:r>
        <w:t>Appendix I: Useful Contacts</w:t>
      </w:r>
    </w:p>
    <w:p>
      <w:r>
        <w:t>☐  MOH questions — hia_enquiries@moh.gov.sg</w:t>
      </w:r>
    </w:p>
    <w:p>
      <w:r>
        <w:t>☐  NEHR account and onboarding — NEHR.Feedback@synapxe.sg</w:t>
      </w:r>
    </w:p>
    <w:p>
      <w:r>
        <w:t>☐  Grant applications — nehr.grants@synapxe.sg</w:t>
      </w:r>
    </w:p>
    <w:p>
      <w:r>
        <w:rPr>
          <w:i/>
          <w:color w:val="6B7280"/>
          <w:sz w:val="19"/>
        </w:rPr>
        <w:t>Prepared from the HIA Implementation Guide v2.0 (Aug 2026), the CS/DS Essentials (first edition, March 2026), the HIA FAQs v1.1 (13 Aug 2026), and MOH Circular MOH-MHC-0018-2026 (6 Mar 2026). All sources retrieved 18 August 2026. Companion materials: the "CS/DS Essentials for Solo GPs" deck and one-page action plan, in the same folder as this document.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ascii="Calibri" w:hAnsi="Calibri"/>
      <w:b/>
      <w:bCs/>
      <w:color w:val="1565C0"/>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A1A1A"/>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A1A1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